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/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78EF0294" w14:textId="77777777" w:rsidR="00695FC2" w:rsidRDefault="00EF050E" w:rsidP="007136BF">
          <w:pPr>
            <w:pStyle w:val="LightReportTite"/>
            <w:rPr>
              <w:rFonts w:ascii="VIC" w:hAnsi="VIC"/>
            </w:rPr>
          </w:pPr>
          <w:r w:rsidRPr="00695FC2">
            <w:rPr>
              <w:rFonts w:ascii="VIC" w:hAnsi="VIC"/>
              <w:noProof/>
            </w:rPr>
            <w:drawing>
              <wp:anchor distT="0" distB="0" distL="114300" distR="114300" simplePos="0" relativeHeight="251658241" behindDoc="1" locked="0" layoutInCell="1" allowOverlap="1" wp14:anchorId="76CD3688" wp14:editId="767E580E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95FC2">
            <w:rPr>
              <w:rFonts w:ascii="VIC" w:hAnsi="VIC"/>
              <w:noProof/>
            </w:rPr>
            <w:drawing>
              <wp:anchor distT="0" distB="0" distL="114300" distR="114300" simplePos="0" relativeHeight="251658240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695FC2">
            <w:rPr>
              <w:rFonts w:ascii="VIC" w:hAnsi="VIC"/>
            </w:rPr>
            <w:t xml:space="preserve">Part B – </w:t>
          </w:r>
          <w:r w:rsidR="00507018" w:rsidRPr="00695FC2">
            <w:rPr>
              <w:rFonts w:ascii="VIC" w:hAnsi="VIC"/>
            </w:rPr>
            <w:t xml:space="preserve">Geotechnical Pile Testing </w:t>
          </w:r>
        </w:p>
        <w:p w14:paraId="27C4C13E" w14:textId="606AB6AD" w:rsidR="00EF050E" w:rsidRPr="00695FC2" w:rsidRDefault="00507018" w:rsidP="007136BF">
          <w:pPr>
            <w:pStyle w:val="LightReportTite"/>
            <w:rPr>
              <w:rFonts w:ascii="VIC" w:hAnsi="VIC"/>
            </w:rPr>
          </w:pPr>
          <w:r w:rsidRPr="00695FC2">
            <w:rPr>
              <w:rFonts w:ascii="VIC" w:hAnsi="VIC"/>
            </w:rPr>
            <w:t xml:space="preserve">(GT-PST) </w:t>
          </w:r>
          <w:r w:rsidR="00695FC2">
            <w:rPr>
              <w:rFonts w:ascii="VIC" w:hAnsi="VIC"/>
            </w:rPr>
            <w:t>Level Application</w:t>
          </w:r>
        </w:p>
        <w:p w14:paraId="6F1E87BB" w14:textId="3451B361" w:rsidR="00EF050E" w:rsidRPr="00EF050E" w:rsidRDefault="00EF050E">
          <w:pPr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0584DC3B" w14:textId="77777777" w:rsidR="00695FC2" w:rsidRDefault="00695FC2" w:rsidP="00695FC2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lastRenderedPageBreak/>
        <w:t>Part B</w:t>
      </w:r>
    </w:p>
    <w:p w14:paraId="5501855F" w14:textId="77777777" w:rsidR="00695FC2" w:rsidRPr="00A227F3" w:rsidRDefault="00695FC2" w:rsidP="00695FC2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Instructions</w:t>
      </w:r>
    </w:p>
    <w:p w14:paraId="3666615B" w14:textId="77777777" w:rsidR="00695FC2" w:rsidRDefault="00695FC2" w:rsidP="00695FC2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10B1C3B7" w14:textId="77777777" w:rsidR="00695FC2" w:rsidRPr="00C26958" w:rsidRDefault="00695FC2" w:rsidP="00695FC2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0EAE0D4A" w14:textId="77777777" w:rsidR="00695FC2" w:rsidRPr="00A227F3" w:rsidRDefault="00695FC2" w:rsidP="00695FC2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46408023" w14:textId="77777777" w:rsidR="00695FC2" w:rsidRPr="00A227F3" w:rsidRDefault="00695FC2" w:rsidP="00695FC2">
      <w:pPr>
        <w:pStyle w:val="ListParagraph"/>
        <w:numPr>
          <w:ilvl w:val="1"/>
          <w:numId w:val="5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338097A8" w14:textId="77777777" w:rsidR="00695FC2" w:rsidRPr="00A227F3" w:rsidRDefault="00695FC2" w:rsidP="00695FC2">
      <w:pPr>
        <w:pStyle w:val="ListParagraph"/>
        <w:numPr>
          <w:ilvl w:val="1"/>
          <w:numId w:val="5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6746D2CF" w14:textId="77777777" w:rsidR="00695FC2" w:rsidRPr="00FC2B38" w:rsidRDefault="00695FC2" w:rsidP="00695FC2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231233AE" w14:textId="77777777" w:rsidR="00695FC2" w:rsidRPr="00A227F3" w:rsidRDefault="00695FC2" w:rsidP="00695FC2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VIC" w:hAnsi="VIC"/>
          <w:sz w:val="20"/>
          <w:szCs w:val="20"/>
        </w:rPr>
      </w:pPr>
      <w:bookmarkStart w:id="0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0C5563F2" w14:textId="77777777" w:rsidR="00695FC2" w:rsidRPr="00A227F3" w:rsidRDefault="00695FC2" w:rsidP="00695FC2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42E7E433" w14:textId="77777777" w:rsidR="00695FC2" w:rsidRPr="00A227F3" w:rsidRDefault="00695FC2" w:rsidP="00695FC2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552A5596" w14:textId="77777777" w:rsidR="00695FC2" w:rsidRPr="00C26958" w:rsidRDefault="00695FC2" w:rsidP="00695FC2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54224C42" w14:textId="77777777" w:rsidR="00695FC2" w:rsidRDefault="00695FC2" w:rsidP="00695FC2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42D467FA" w14:textId="77777777" w:rsidR="00695FC2" w:rsidRPr="00A227F3" w:rsidRDefault="00695FC2" w:rsidP="00695FC2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0"/>
    <w:p w14:paraId="69A5C027" w14:textId="77777777" w:rsidR="00695FC2" w:rsidRPr="00EE2D8C" w:rsidRDefault="00695FC2" w:rsidP="00695F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16C98C4F" w14:textId="77777777" w:rsidR="00695FC2" w:rsidRDefault="00695FC2" w:rsidP="00695FC2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4D187B01" w14:textId="77777777" w:rsidR="00695FC2" w:rsidRPr="00892ECD" w:rsidRDefault="00695FC2" w:rsidP="00695FC2">
      <w:pPr>
        <w:pStyle w:val="ListParagraph"/>
        <w:keepNext/>
        <w:keepLines/>
        <w:numPr>
          <w:ilvl w:val="0"/>
          <w:numId w:val="11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13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3F33BA11" w14:textId="77777777" w:rsidR="00695FC2" w:rsidRDefault="00695FC2" w:rsidP="00695FC2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 xml:space="preserve">** Applications will only be accepted from </w:t>
      </w:r>
      <w:proofErr w:type="gramStart"/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cloud based</w:t>
      </w:r>
      <w:proofErr w:type="gramEnd"/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 xml:space="preserve"> storage services</w:t>
      </w:r>
    </w:p>
    <w:p w14:paraId="3E75FCD0" w14:textId="77777777" w:rsidR="00695FC2" w:rsidRPr="00A227F3" w:rsidRDefault="00695FC2" w:rsidP="00695FC2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4F707AD9" w14:textId="77777777" w:rsidR="00695FC2" w:rsidRPr="00A227F3" w:rsidRDefault="00695FC2" w:rsidP="00695FC2">
      <w:pPr>
        <w:numPr>
          <w:ilvl w:val="0"/>
          <w:numId w:val="4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2925B505" w14:textId="77777777" w:rsidR="00695FC2" w:rsidRDefault="00695FC2" w:rsidP="00695FC2"/>
    <w:p w14:paraId="4EB297A8" w14:textId="77777777" w:rsidR="00CC0185" w:rsidRDefault="00CC0185" w:rsidP="00CC0185">
      <w:pPr>
        <w:pStyle w:val="Subtitle"/>
        <w:rPr>
          <w:sz w:val="48"/>
          <w:szCs w:val="48"/>
        </w:rPr>
      </w:pPr>
    </w:p>
    <w:p w14:paraId="2E5D2C49" w14:textId="77777777" w:rsidR="00CC0185" w:rsidRDefault="00CC0185" w:rsidP="003D0B4A">
      <w:pPr>
        <w:pStyle w:val="Subtitle"/>
        <w:rPr>
          <w:sz w:val="48"/>
          <w:szCs w:val="48"/>
        </w:rPr>
      </w:pPr>
    </w:p>
    <w:p w14:paraId="7ADDDCF3" w14:textId="77777777" w:rsidR="00CC0185" w:rsidRDefault="00CC0185" w:rsidP="003D0B4A">
      <w:pPr>
        <w:pStyle w:val="Subtitle"/>
        <w:rPr>
          <w:sz w:val="48"/>
          <w:szCs w:val="48"/>
        </w:rPr>
      </w:pPr>
    </w:p>
    <w:p w14:paraId="39CB5A17" w14:textId="77777777" w:rsidR="00CC0185" w:rsidRDefault="00CC0185" w:rsidP="003D0B4A">
      <w:pPr>
        <w:pStyle w:val="Subtitle"/>
        <w:rPr>
          <w:sz w:val="48"/>
          <w:szCs w:val="48"/>
        </w:rPr>
      </w:pPr>
    </w:p>
    <w:p w14:paraId="5E30FD8E" w14:textId="77777777" w:rsidR="00CC0185" w:rsidRPr="00CC0185" w:rsidRDefault="00CC0185" w:rsidP="00CC0185"/>
    <w:p w14:paraId="4BB32CFC" w14:textId="2C7258F4" w:rsidR="003D0B4A" w:rsidRPr="00DB2435" w:rsidRDefault="003D0B4A" w:rsidP="003D0B4A">
      <w:pPr>
        <w:pStyle w:val="Subtitle"/>
        <w:rPr>
          <w:sz w:val="48"/>
          <w:szCs w:val="48"/>
        </w:rPr>
      </w:pPr>
      <w:r w:rsidRPr="00695FC2">
        <w:rPr>
          <w:rFonts w:ascii="VIC" w:hAnsi="VIC"/>
          <w:b/>
          <w:color w:val="0F4761" w:themeColor="accent1" w:themeShade="BF"/>
          <w:spacing w:val="0"/>
          <w:sz w:val="32"/>
          <w:szCs w:val="32"/>
        </w:rPr>
        <w:lastRenderedPageBreak/>
        <w:t>Part B</w:t>
      </w:r>
      <w:r w:rsidRPr="00DB2435">
        <w:rPr>
          <w:sz w:val="48"/>
          <w:szCs w:val="48"/>
        </w:rPr>
        <w:t xml:space="preserve"> </w:t>
      </w:r>
    </w:p>
    <w:p w14:paraId="5C66C538" w14:textId="7FA83EE0" w:rsidR="00ED7F69" w:rsidRDefault="00751EC3" w:rsidP="00544AAA">
      <w:pPr>
        <w:spacing w:after="0" w:line="240" w:lineRule="auto"/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</w:pPr>
      <w:bookmarkStart w:id="1" w:name="_Hlk201562645"/>
      <w:r w:rsidRPr="00751EC3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Geotechnical Pile Testing (GT-PST)</w:t>
      </w:r>
    </w:p>
    <w:bookmarkEnd w:id="1"/>
    <w:p w14:paraId="181ED2C1" w14:textId="77777777" w:rsidR="00751EC3" w:rsidRDefault="00751EC3" w:rsidP="00544AAA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41A5240A" w:rsidR="003D0B4A" w:rsidRDefault="003D0B4A" w:rsidP="00544AAA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About this Level</w:t>
      </w:r>
    </w:p>
    <w:p w14:paraId="7552BF65" w14:textId="77777777" w:rsidR="00544AAA" w:rsidRPr="00F57AF7" w:rsidRDefault="00544AAA" w:rsidP="00544AAA">
      <w:pPr>
        <w:spacing w:after="0" w:line="240" w:lineRule="auto"/>
        <w:rPr>
          <w:rFonts w:ascii="VIC" w:hAnsi="VIC"/>
          <w:sz w:val="20"/>
          <w:szCs w:val="20"/>
        </w:rPr>
      </w:pPr>
    </w:p>
    <w:p w14:paraId="0EA63B90" w14:textId="77777777" w:rsidR="00695FC2" w:rsidRDefault="00541081" w:rsidP="00695FC2">
      <w:pPr>
        <w:spacing w:after="0" w:line="240" w:lineRule="auto"/>
        <w:rPr>
          <w:rFonts w:ascii="VIC" w:hAnsi="VIC"/>
          <w:sz w:val="20"/>
          <w:szCs w:val="20"/>
        </w:rPr>
      </w:pPr>
      <w:r w:rsidRPr="00170858">
        <w:rPr>
          <w:rFonts w:ascii="VIC" w:hAnsi="VIC"/>
          <w:sz w:val="20"/>
          <w:szCs w:val="20"/>
        </w:rPr>
        <w:t xml:space="preserve">Prequalification at this level </w:t>
      </w:r>
      <w:r w:rsidR="00603B03" w:rsidRPr="00170858">
        <w:rPr>
          <w:rFonts w:ascii="VIC" w:hAnsi="VIC"/>
          <w:sz w:val="20"/>
          <w:szCs w:val="20"/>
        </w:rPr>
        <w:t xml:space="preserve">involves </w:t>
      </w:r>
      <w:r w:rsidR="00751EC3" w:rsidRPr="00170858">
        <w:rPr>
          <w:rFonts w:ascii="VIC" w:hAnsi="VIC"/>
          <w:sz w:val="20"/>
          <w:szCs w:val="20"/>
        </w:rPr>
        <w:t>pile testing performed on deep foundation piles to evaluate their load-bearing capacity, structural integrity, and performance to ensure the piles can safely support the loads from the structure</w:t>
      </w:r>
      <w:r w:rsidR="00170858" w:rsidRPr="00170858">
        <w:rPr>
          <w:rFonts w:ascii="VIC" w:hAnsi="VIC"/>
          <w:sz w:val="20"/>
          <w:szCs w:val="20"/>
        </w:rPr>
        <w:t xml:space="preserve"> in accordance with AS2159 and DTP Standard sections 605, 606, 607, and 608. </w:t>
      </w:r>
    </w:p>
    <w:p w14:paraId="4AFA438A" w14:textId="77777777" w:rsidR="00695FC2" w:rsidRDefault="00695FC2" w:rsidP="00695FC2">
      <w:pPr>
        <w:spacing w:after="0" w:line="240" w:lineRule="auto"/>
        <w:rPr>
          <w:rFonts w:ascii="VIC" w:hAnsi="VIC"/>
          <w:sz w:val="20"/>
          <w:szCs w:val="20"/>
        </w:rPr>
      </w:pPr>
    </w:p>
    <w:p w14:paraId="7A744B03" w14:textId="1A47AE66" w:rsidR="00695FC2" w:rsidRDefault="00695FC2" w:rsidP="00695FC2">
      <w:pPr>
        <w:spacing w:after="0" w:line="240" w:lineRule="auto"/>
        <w:rPr>
          <w:rFonts w:ascii="VIC" w:hAnsi="VIC"/>
          <w:sz w:val="20"/>
          <w:szCs w:val="20"/>
        </w:rPr>
      </w:pPr>
      <w:r w:rsidRPr="004B39F4">
        <w:rPr>
          <w:rFonts w:ascii="VIC" w:hAnsi="VIC"/>
          <w:sz w:val="20"/>
          <w:szCs w:val="20"/>
        </w:rPr>
        <w:t>Applications for this level requires the company to nominate an employee/s that meet the eligibility requirements.</w:t>
      </w:r>
      <w:r w:rsidRPr="00371A09">
        <w:rPr>
          <w:rFonts w:ascii="VIC" w:hAnsi="VIC"/>
          <w:sz w:val="20"/>
          <w:szCs w:val="20"/>
        </w:rPr>
        <w:t xml:space="preserve"> </w:t>
      </w:r>
    </w:p>
    <w:p w14:paraId="0F7C86D7" w14:textId="77777777" w:rsidR="00695FC2" w:rsidRDefault="00695FC2" w:rsidP="00B9082E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447C1B15" w14:textId="7DFDDFB8" w:rsidR="00B9082E" w:rsidRDefault="003D0B4A" w:rsidP="00B9082E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Areas of Competency</w:t>
      </w:r>
    </w:p>
    <w:p w14:paraId="591F92AC" w14:textId="77777777" w:rsidR="00B9082E" w:rsidRDefault="00B9082E" w:rsidP="00B9082E">
      <w:pPr>
        <w:spacing w:after="0" w:line="240" w:lineRule="auto"/>
        <w:rPr>
          <w:rFonts w:ascii="VIC" w:hAnsi="VIC"/>
          <w:sz w:val="20"/>
          <w:szCs w:val="20"/>
        </w:rPr>
      </w:pPr>
    </w:p>
    <w:p w14:paraId="062BAC20" w14:textId="1C17D3A8" w:rsidR="00596179" w:rsidRDefault="00541081" w:rsidP="00B9082E">
      <w:pPr>
        <w:spacing w:after="0" w:line="240" w:lineRule="auto"/>
        <w:rPr>
          <w:rFonts w:ascii="VIC" w:hAnsi="VIC"/>
          <w:sz w:val="20"/>
          <w:szCs w:val="20"/>
        </w:rPr>
      </w:pPr>
      <w:r w:rsidRPr="00B9082E">
        <w:rPr>
          <w:rFonts w:ascii="VIC" w:hAnsi="VIC"/>
          <w:sz w:val="20"/>
          <w:szCs w:val="20"/>
        </w:rPr>
        <w:t>Applications must demonstrate the following areas of competency:</w:t>
      </w:r>
    </w:p>
    <w:p w14:paraId="599DFCD7" w14:textId="77777777" w:rsidR="00695FC2" w:rsidRDefault="00695FC2" w:rsidP="00B9082E">
      <w:pPr>
        <w:spacing w:after="0" w:line="240" w:lineRule="auto"/>
        <w:rPr>
          <w:rFonts w:ascii="VIC" w:hAnsi="VIC"/>
          <w:sz w:val="20"/>
          <w:szCs w:val="20"/>
        </w:rPr>
      </w:pPr>
    </w:p>
    <w:p w14:paraId="7A37ED43" w14:textId="71517E6D" w:rsidR="00751EC3" w:rsidRPr="00757544" w:rsidRDefault="00757544" w:rsidP="008A7815">
      <w:pPr>
        <w:pStyle w:val="ListParagraph"/>
        <w:numPr>
          <w:ilvl w:val="0"/>
          <w:numId w:val="4"/>
        </w:numPr>
        <w:rPr>
          <w:rFonts w:ascii="VIC" w:hAnsi="VIC"/>
          <w:sz w:val="20"/>
          <w:szCs w:val="20"/>
        </w:rPr>
      </w:pPr>
      <w:r w:rsidRPr="00757544">
        <w:rPr>
          <w:rFonts w:ascii="VIC" w:hAnsi="VIC"/>
          <w:sz w:val="20"/>
          <w:szCs w:val="20"/>
        </w:rPr>
        <w:t>E</w:t>
      </w:r>
      <w:r w:rsidR="00751EC3" w:rsidRPr="00757544">
        <w:rPr>
          <w:rFonts w:ascii="VIC" w:hAnsi="VIC"/>
          <w:sz w:val="20"/>
          <w:szCs w:val="20"/>
        </w:rPr>
        <w:t xml:space="preserve">xperience in high strain dynamic load testing of driven piles, bored cast-in-place piles and continuous flight auger (CFA) piles </w:t>
      </w:r>
      <w:bookmarkStart w:id="2" w:name="_Hlk201562423"/>
      <w:r w:rsidR="00751EC3" w:rsidRPr="00757544">
        <w:rPr>
          <w:rFonts w:ascii="VIC" w:hAnsi="VIC"/>
          <w:sz w:val="20"/>
          <w:szCs w:val="20"/>
        </w:rPr>
        <w:t>in accordance with AS2159 and DTP Standard sections 605, 606, 607, and 608.</w:t>
      </w:r>
    </w:p>
    <w:bookmarkEnd w:id="2"/>
    <w:p w14:paraId="7D3EBED9" w14:textId="293A8BE7" w:rsidR="00751EC3" w:rsidRPr="00757544" w:rsidRDefault="00757544" w:rsidP="008A7815">
      <w:pPr>
        <w:pStyle w:val="ListParagraph"/>
        <w:numPr>
          <w:ilvl w:val="0"/>
          <w:numId w:val="4"/>
        </w:numPr>
        <w:rPr>
          <w:rFonts w:ascii="VIC" w:hAnsi="VIC"/>
          <w:color w:val="222222"/>
          <w:sz w:val="20"/>
          <w:szCs w:val="20"/>
          <w:shd w:val="clear" w:color="auto" w:fill="FFFFFF"/>
        </w:rPr>
      </w:pPr>
      <w:r w:rsidRPr="00757544">
        <w:rPr>
          <w:rFonts w:ascii="VIC" w:hAnsi="VIC"/>
          <w:sz w:val="20"/>
          <w:szCs w:val="20"/>
        </w:rPr>
        <w:t>I</w:t>
      </w:r>
      <w:r w:rsidR="00751EC3" w:rsidRPr="00757544">
        <w:rPr>
          <w:rFonts w:ascii="VIC" w:hAnsi="VIC"/>
          <w:sz w:val="20"/>
          <w:szCs w:val="20"/>
        </w:rPr>
        <w:t>ndividuals with suitable experience</w:t>
      </w:r>
      <w:r w:rsidR="00B86941">
        <w:rPr>
          <w:rFonts w:ascii="VIC" w:hAnsi="VIC"/>
          <w:sz w:val="20"/>
          <w:szCs w:val="20"/>
        </w:rPr>
        <w:t xml:space="preserve"> in pile testing </w:t>
      </w:r>
      <w:r w:rsidR="00751EC3" w:rsidRPr="00757544">
        <w:rPr>
          <w:rFonts w:ascii="VIC" w:hAnsi="VIC"/>
          <w:sz w:val="20"/>
          <w:szCs w:val="20"/>
        </w:rPr>
        <w:t xml:space="preserve">evaluated through the </w:t>
      </w:r>
      <w:r w:rsidR="00751EC3" w:rsidRPr="00757544">
        <w:rPr>
          <w:rFonts w:ascii="VIC" w:hAnsi="VIC"/>
          <w:color w:val="222222"/>
          <w:sz w:val="20"/>
          <w:szCs w:val="20"/>
          <w:shd w:val="clear" w:color="auto" w:fill="FFFFFF"/>
        </w:rPr>
        <w:t xml:space="preserve">Pile Dynamics Measurement and Analysis Proficiency Test (PDMAPT) along with documented individual practical </w:t>
      </w:r>
      <w:r w:rsidR="00751EC3" w:rsidRPr="00E566E7">
        <w:rPr>
          <w:rFonts w:ascii="VIC" w:hAnsi="VIC"/>
          <w:color w:val="000000" w:themeColor="text1"/>
          <w:sz w:val="20"/>
          <w:szCs w:val="20"/>
          <w:shd w:val="clear" w:color="auto" w:fill="FFFFFF"/>
        </w:rPr>
        <w:t>experience.</w:t>
      </w:r>
      <w:r w:rsidR="00A50C05" w:rsidRPr="00E566E7">
        <w:rPr>
          <w:rFonts w:ascii="VIC" w:hAnsi="VIC"/>
          <w:color w:val="000000" w:themeColor="text1"/>
          <w:sz w:val="20"/>
          <w:szCs w:val="20"/>
          <w:shd w:val="clear" w:color="auto" w:fill="FFFFFF"/>
        </w:rPr>
        <w:t xml:space="preserve"> Individual</w:t>
      </w:r>
      <w:r w:rsidR="005953C9" w:rsidRPr="00E566E7">
        <w:rPr>
          <w:rFonts w:ascii="VIC" w:hAnsi="VIC"/>
          <w:color w:val="000000" w:themeColor="text1"/>
          <w:sz w:val="20"/>
          <w:szCs w:val="20"/>
          <w:shd w:val="clear" w:color="auto" w:fill="FFFFFF"/>
        </w:rPr>
        <w:t xml:space="preserve">s need to demonstrate testing experience for both displacement and non-displacement piles. </w:t>
      </w:r>
    </w:p>
    <w:p w14:paraId="6B2C75FA" w14:textId="60C0AB1F" w:rsidR="00751EC3" w:rsidRPr="00757544" w:rsidRDefault="00751EC3" w:rsidP="008A7815">
      <w:pPr>
        <w:pStyle w:val="ListParagraph"/>
        <w:numPr>
          <w:ilvl w:val="0"/>
          <w:numId w:val="4"/>
        </w:numPr>
        <w:rPr>
          <w:rFonts w:ascii="VIC" w:hAnsi="VIC"/>
          <w:color w:val="222222"/>
          <w:sz w:val="20"/>
          <w:szCs w:val="20"/>
          <w:shd w:val="clear" w:color="auto" w:fill="FFFFFF"/>
        </w:rPr>
      </w:pPr>
      <w:r w:rsidRPr="00757544">
        <w:rPr>
          <w:rFonts w:ascii="VIC" w:hAnsi="VIC"/>
          <w:color w:val="222222"/>
          <w:sz w:val="20"/>
          <w:szCs w:val="20"/>
          <w:shd w:val="clear" w:color="auto" w:fill="FFFFFF"/>
        </w:rPr>
        <w:t>For high strain testing</w:t>
      </w:r>
      <w:r w:rsidR="00532270">
        <w:rPr>
          <w:rFonts w:ascii="VIC" w:hAnsi="VIC"/>
          <w:color w:val="222222"/>
          <w:sz w:val="20"/>
          <w:szCs w:val="20"/>
          <w:shd w:val="clear" w:color="auto" w:fill="FFFFFF"/>
        </w:rPr>
        <w:t>,</w:t>
      </w:r>
      <w:r w:rsidRPr="00757544">
        <w:rPr>
          <w:rFonts w:ascii="VIC" w:hAnsi="VIC"/>
          <w:color w:val="222222"/>
          <w:sz w:val="20"/>
          <w:szCs w:val="20"/>
          <w:shd w:val="clear" w:color="auto" w:fill="FFFFFF"/>
        </w:rPr>
        <w:t xml:space="preserve"> </w:t>
      </w:r>
      <w:r w:rsidR="00433792">
        <w:rPr>
          <w:rFonts w:ascii="VIC" w:hAnsi="VIC"/>
          <w:color w:val="222222"/>
          <w:sz w:val="20"/>
          <w:szCs w:val="20"/>
          <w:shd w:val="clear" w:color="auto" w:fill="FFFFFF"/>
        </w:rPr>
        <w:t>individuals</w:t>
      </w:r>
      <w:r w:rsidRPr="00757544">
        <w:rPr>
          <w:rFonts w:ascii="VIC" w:hAnsi="VIC"/>
          <w:color w:val="222222"/>
          <w:sz w:val="20"/>
          <w:szCs w:val="20"/>
          <w:shd w:val="clear" w:color="auto" w:fill="FFFFFF"/>
        </w:rPr>
        <w:t xml:space="preserve"> need to demonstrate </w:t>
      </w:r>
      <w:r w:rsidR="00433792">
        <w:rPr>
          <w:rFonts w:ascii="VIC" w:hAnsi="VIC"/>
          <w:color w:val="222222"/>
          <w:sz w:val="20"/>
          <w:szCs w:val="20"/>
          <w:shd w:val="clear" w:color="auto" w:fill="FFFFFF"/>
        </w:rPr>
        <w:t>the following practical experience</w:t>
      </w:r>
      <w:r w:rsidRPr="00757544">
        <w:rPr>
          <w:rFonts w:ascii="VIC" w:hAnsi="VIC"/>
          <w:color w:val="222222"/>
          <w:sz w:val="20"/>
          <w:szCs w:val="20"/>
          <w:shd w:val="clear" w:color="auto" w:fill="FFFFFF"/>
        </w:rPr>
        <w:t xml:space="preserve"> based on their PDMAPT test results as follows</w:t>
      </w:r>
      <w:r w:rsidR="007029A7">
        <w:rPr>
          <w:rFonts w:ascii="VIC" w:hAnsi="VIC"/>
          <w:color w:val="222222"/>
          <w:sz w:val="20"/>
          <w:szCs w:val="20"/>
          <w:shd w:val="clear" w:color="auto" w:fill="FFFFFF"/>
        </w:rPr>
        <w:t>*</w:t>
      </w:r>
      <w:r w:rsidRPr="00757544">
        <w:rPr>
          <w:rFonts w:ascii="VIC" w:hAnsi="VIC"/>
          <w:color w:val="222222"/>
          <w:sz w:val="20"/>
          <w:szCs w:val="20"/>
          <w:shd w:val="clear" w:color="auto" w:fill="FFFFFF"/>
        </w:rPr>
        <w:t>:</w:t>
      </w:r>
    </w:p>
    <w:p w14:paraId="23B6EE6F" w14:textId="3ADD7405" w:rsidR="00751EC3" w:rsidRPr="00757544" w:rsidRDefault="00751EC3" w:rsidP="008A7815">
      <w:pPr>
        <w:pStyle w:val="ListParagraph"/>
        <w:numPr>
          <w:ilvl w:val="0"/>
          <w:numId w:val="7"/>
        </w:numPr>
        <w:spacing w:before="80" w:after="120" w:line="240" w:lineRule="auto"/>
        <w:rPr>
          <w:rFonts w:ascii="VIC" w:hAnsi="VIC"/>
          <w:color w:val="222222"/>
          <w:sz w:val="20"/>
          <w:szCs w:val="20"/>
          <w:shd w:val="clear" w:color="auto" w:fill="FFFFFF"/>
        </w:rPr>
      </w:pPr>
      <w:r w:rsidRPr="00757544">
        <w:rPr>
          <w:rFonts w:ascii="VIC" w:hAnsi="VIC"/>
          <w:color w:val="222222"/>
          <w:sz w:val="20"/>
          <w:szCs w:val="20"/>
          <w:shd w:val="clear" w:color="auto" w:fill="FFFFFF"/>
        </w:rPr>
        <w:t>Intermediate Level or higher – high strain field testing.</w:t>
      </w:r>
    </w:p>
    <w:p w14:paraId="3BE5E07B" w14:textId="47ACA2FC" w:rsidR="00751EC3" w:rsidRPr="00757544" w:rsidRDefault="00751EC3" w:rsidP="008A7815">
      <w:pPr>
        <w:pStyle w:val="ListParagraph"/>
        <w:numPr>
          <w:ilvl w:val="0"/>
          <w:numId w:val="7"/>
        </w:numPr>
        <w:spacing w:before="80" w:after="120" w:line="240" w:lineRule="auto"/>
        <w:rPr>
          <w:rFonts w:ascii="VIC" w:hAnsi="VIC"/>
          <w:color w:val="222222"/>
          <w:sz w:val="20"/>
          <w:szCs w:val="20"/>
          <w:shd w:val="clear" w:color="auto" w:fill="FFFFFF"/>
        </w:rPr>
      </w:pPr>
      <w:r w:rsidRPr="00757544">
        <w:rPr>
          <w:rFonts w:ascii="VIC" w:hAnsi="VIC"/>
          <w:color w:val="222222"/>
          <w:sz w:val="20"/>
          <w:szCs w:val="20"/>
          <w:shd w:val="clear" w:color="auto" w:fill="FFFFFF"/>
        </w:rPr>
        <w:t xml:space="preserve">Advanced Level or higher – </w:t>
      </w:r>
      <w:r w:rsidR="00166AE8" w:rsidRPr="00757544">
        <w:rPr>
          <w:rFonts w:ascii="VIC" w:hAnsi="VIC"/>
          <w:color w:val="222222"/>
          <w:sz w:val="20"/>
          <w:szCs w:val="20"/>
          <w:shd w:val="clear" w:color="auto" w:fill="FFFFFF"/>
        </w:rPr>
        <w:t xml:space="preserve">high strain </w:t>
      </w:r>
      <w:r w:rsidRPr="00757544">
        <w:rPr>
          <w:rFonts w:ascii="VIC" w:hAnsi="VIC"/>
          <w:color w:val="222222"/>
          <w:sz w:val="20"/>
          <w:szCs w:val="20"/>
          <w:shd w:val="clear" w:color="auto" w:fill="FFFFFF"/>
        </w:rPr>
        <w:t>field testing, test verification, analysis, and reporting.</w:t>
      </w:r>
    </w:p>
    <w:p w14:paraId="7CE1A572" w14:textId="32466685" w:rsidR="00751EC3" w:rsidRPr="00757544" w:rsidRDefault="00751EC3" w:rsidP="008A7815">
      <w:pPr>
        <w:pStyle w:val="ListParagraph"/>
        <w:numPr>
          <w:ilvl w:val="0"/>
          <w:numId w:val="7"/>
        </w:numPr>
        <w:spacing w:before="80" w:after="120" w:line="240" w:lineRule="auto"/>
        <w:rPr>
          <w:rFonts w:ascii="VIC" w:hAnsi="VIC"/>
          <w:color w:val="222222"/>
          <w:sz w:val="20"/>
          <w:szCs w:val="20"/>
          <w:shd w:val="clear" w:color="auto" w:fill="FFFFFF"/>
        </w:rPr>
      </w:pPr>
      <w:r w:rsidRPr="00757544">
        <w:rPr>
          <w:rFonts w:ascii="VIC" w:hAnsi="VIC"/>
          <w:color w:val="222222"/>
          <w:sz w:val="20"/>
          <w:szCs w:val="20"/>
          <w:shd w:val="clear" w:color="auto" w:fill="FFFFFF"/>
        </w:rPr>
        <w:t xml:space="preserve">Master Level or higher – </w:t>
      </w:r>
      <w:r w:rsidR="00166AE8" w:rsidRPr="00757544">
        <w:rPr>
          <w:rFonts w:ascii="VIC" w:hAnsi="VIC"/>
          <w:color w:val="222222"/>
          <w:sz w:val="20"/>
          <w:szCs w:val="20"/>
          <w:shd w:val="clear" w:color="auto" w:fill="FFFFFF"/>
        </w:rPr>
        <w:t xml:space="preserve">high strain </w:t>
      </w:r>
      <w:r w:rsidRPr="00757544">
        <w:rPr>
          <w:rFonts w:ascii="VIC" w:hAnsi="VIC"/>
          <w:color w:val="222222"/>
          <w:sz w:val="20"/>
          <w:szCs w:val="20"/>
          <w:shd w:val="clear" w:color="auto" w:fill="FFFFFF"/>
        </w:rPr>
        <w:t>field testing, test verification, analysis, reporting, and verification of tests undertaken by others.</w:t>
      </w:r>
    </w:p>
    <w:p w14:paraId="2A1805EC" w14:textId="08FEDB33" w:rsidR="00757544" w:rsidRPr="007029A7" w:rsidRDefault="007029A7" w:rsidP="007029A7">
      <w:pPr>
        <w:rPr>
          <w:rFonts w:ascii="VIC" w:hAnsi="VIC"/>
          <w:i/>
          <w:color w:val="222222"/>
          <w:sz w:val="20"/>
          <w:szCs w:val="20"/>
          <w:shd w:val="clear" w:color="auto" w:fill="FFFFFF"/>
        </w:rPr>
      </w:pPr>
      <w:r>
        <w:rPr>
          <w:rFonts w:ascii="VIC" w:hAnsi="VIC"/>
          <w:i/>
          <w:color w:val="222222"/>
          <w:sz w:val="20"/>
          <w:szCs w:val="20"/>
          <w:shd w:val="clear" w:color="auto" w:fill="FFFFFF"/>
        </w:rPr>
        <w:t xml:space="preserve">* </w:t>
      </w:r>
      <w:r w:rsidR="00751EC3" w:rsidRPr="007029A7">
        <w:rPr>
          <w:rFonts w:ascii="VIC" w:hAnsi="VIC"/>
          <w:i/>
          <w:color w:val="222222"/>
          <w:sz w:val="20"/>
          <w:szCs w:val="20"/>
          <w:shd w:val="clear" w:color="auto" w:fill="FFFFFF"/>
        </w:rPr>
        <w:t>Alternatively, this may be defined in the relevant DTP standard specifications/Austroads Technical specifications where if differs from the above</w:t>
      </w:r>
      <w:r w:rsidR="00512B8F">
        <w:rPr>
          <w:rFonts w:ascii="VIC" w:hAnsi="VIC"/>
          <w:i/>
          <w:color w:val="222222"/>
          <w:sz w:val="20"/>
          <w:szCs w:val="20"/>
          <w:shd w:val="clear" w:color="auto" w:fill="FFFFFF"/>
        </w:rPr>
        <w:t>.</w:t>
      </w:r>
    </w:p>
    <w:p w14:paraId="3C18224F" w14:textId="3890E7C3" w:rsidR="003D0B4A" w:rsidRDefault="003D0B4A" w:rsidP="00751EC3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Prerequisites</w:t>
      </w:r>
    </w:p>
    <w:p w14:paraId="02578C22" w14:textId="1A8116B7" w:rsidR="00453354" w:rsidRDefault="00453354" w:rsidP="008C7A92">
      <w:pPr>
        <w:rPr>
          <w:rFonts w:ascii="VIC" w:eastAsiaTheme="majorEastAsia" w:hAnsi="VIC" w:cstheme="majorBidi"/>
          <w:sz w:val="20"/>
          <w:szCs w:val="20"/>
        </w:rPr>
      </w:pPr>
      <w:r w:rsidRPr="00453354">
        <w:rPr>
          <w:rFonts w:ascii="VIC" w:eastAsiaTheme="majorEastAsia" w:hAnsi="VIC" w:cstheme="majorBidi"/>
          <w:sz w:val="20"/>
          <w:szCs w:val="20"/>
        </w:rPr>
        <w:t xml:space="preserve">There are no prerequisites for this prequalification level. </w:t>
      </w:r>
    </w:p>
    <w:p w14:paraId="7843C476" w14:textId="06530319" w:rsidR="003D0B4A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Renewal </w:t>
      </w:r>
    </w:p>
    <w:p w14:paraId="01D76B06" w14:textId="77777777" w:rsidR="00695FC2" w:rsidRDefault="00695FC2" w:rsidP="00695FC2">
      <w:pPr>
        <w:pStyle w:val="ListParagraph"/>
        <w:numPr>
          <w:ilvl w:val="0"/>
          <w:numId w:val="4"/>
        </w:numPr>
        <w:rPr>
          <w:rFonts w:ascii="VIC" w:hAnsi="VIC"/>
          <w:sz w:val="20"/>
          <w:szCs w:val="20"/>
        </w:rPr>
      </w:pPr>
      <w:r w:rsidRPr="001E02AC">
        <w:rPr>
          <w:rFonts w:ascii="VIC" w:hAnsi="VIC"/>
          <w:sz w:val="20"/>
          <w:szCs w:val="20"/>
        </w:rPr>
        <w:t>Prequalification must be renewed every 5 years.</w:t>
      </w:r>
    </w:p>
    <w:p w14:paraId="40317CA1" w14:textId="77777777" w:rsidR="00695FC2" w:rsidRPr="001E02AC" w:rsidRDefault="00695FC2" w:rsidP="00695FC2">
      <w:pPr>
        <w:pStyle w:val="ListParagraph"/>
        <w:numPr>
          <w:ilvl w:val="0"/>
          <w:numId w:val="4"/>
        </w:numPr>
        <w:rPr>
          <w:rFonts w:ascii="VIC" w:hAnsi="VIC"/>
          <w:sz w:val="20"/>
          <w:szCs w:val="20"/>
        </w:rPr>
      </w:pPr>
      <w:r w:rsidRPr="008627A5">
        <w:rPr>
          <w:rFonts w:ascii="VIC" w:hAnsi="VIC"/>
          <w:sz w:val="20"/>
          <w:szCs w:val="20"/>
        </w:rPr>
        <w:t>Companies are required to advise of any changes to the nominated employees employment</w:t>
      </w:r>
      <w:r>
        <w:rPr>
          <w:rFonts w:ascii="VIC" w:hAnsi="VIC"/>
          <w:sz w:val="20"/>
          <w:szCs w:val="20"/>
        </w:rPr>
        <w:t xml:space="preserve"> status. Where the prequalified employee/s is no longer with the company, the prequalification for the company will laps</w:t>
      </w:r>
    </w:p>
    <w:p w14:paraId="458706D9" w14:textId="77777777" w:rsidR="00695FC2" w:rsidRDefault="00695FC2" w:rsidP="00695FC2">
      <w:pPr>
        <w:pStyle w:val="ListParagraph"/>
        <w:numPr>
          <w:ilvl w:val="0"/>
          <w:numId w:val="4"/>
        </w:numPr>
        <w:rPr>
          <w:rFonts w:ascii="VIC" w:hAnsi="VIC"/>
          <w:sz w:val="20"/>
          <w:szCs w:val="20"/>
        </w:rPr>
      </w:pPr>
      <w:r w:rsidRPr="008627A5">
        <w:rPr>
          <w:rFonts w:ascii="VIC" w:hAnsi="VIC"/>
          <w:sz w:val="20"/>
          <w:szCs w:val="20"/>
        </w:rPr>
        <w:t xml:space="preserve">Unsuccessful applicants can re-apply after 12 months. </w:t>
      </w:r>
    </w:p>
    <w:p w14:paraId="57CA4B8E" w14:textId="77777777" w:rsidR="00695FC2" w:rsidRDefault="00695FC2" w:rsidP="008A7815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469F649C" w14:textId="77777777" w:rsidR="00695FC2" w:rsidRDefault="00695FC2" w:rsidP="008A7815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F67D24D" w14:textId="06C17482" w:rsidR="008A7815" w:rsidRDefault="008A7815" w:rsidP="008A7815">
      <w:r w:rsidRPr="008A7815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lastRenderedPageBreak/>
        <w:t>M</w:t>
      </w:r>
      <w:r w:rsidR="00CC0185" w:rsidRPr="008A7815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inimum</w:t>
      </w:r>
      <w:r w:rsidR="003D0B4A" w:rsidRPr="008A7815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 Requirements</w:t>
      </w:r>
      <w:r w:rsidR="003A3925">
        <w:tab/>
      </w:r>
    </w:p>
    <w:p w14:paraId="7887DEF5" w14:textId="259438AB" w:rsidR="008A7815" w:rsidRPr="002C308E" w:rsidRDefault="00170858" w:rsidP="008A7815">
      <w:pPr>
        <w:pStyle w:val="ListParagraph"/>
        <w:numPr>
          <w:ilvl w:val="0"/>
          <w:numId w:val="8"/>
        </w:numPr>
        <w:rPr>
          <w:rFonts w:ascii="VIC" w:hAnsi="VIC"/>
          <w:sz w:val="20"/>
          <w:szCs w:val="20"/>
        </w:rPr>
      </w:pPr>
      <w:r w:rsidRPr="002C308E">
        <w:rPr>
          <w:rFonts w:ascii="VIC" w:hAnsi="VIC"/>
          <w:sz w:val="20"/>
          <w:szCs w:val="20"/>
        </w:rPr>
        <w:t xml:space="preserve">The application should include a summary of at least (4) </w:t>
      </w:r>
      <w:r w:rsidR="000112F2" w:rsidRPr="002C308E">
        <w:rPr>
          <w:rFonts w:ascii="VIC" w:hAnsi="VIC"/>
          <w:sz w:val="20"/>
          <w:szCs w:val="20"/>
        </w:rPr>
        <w:t>Transport Infrastructure</w:t>
      </w:r>
      <w:r w:rsidR="000112F2" w:rsidRPr="002C308E">
        <w:rPr>
          <w:rFonts w:ascii="VIC" w:hAnsi="VIC"/>
          <w:sz w:val="20"/>
          <w:szCs w:val="20"/>
          <w:vertAlign w:val="superscript"/>
        </w:rPr>
        <w:t xml:space="preserve">1 </w:t>
      </w:r>
      <w:r w:rsidRPr="002C308E">
        <w:rPr>
          <w:rFonts w:ascii="VIC" w:hAnsi="VIC"/>
          <w:sz w:val="20"/>
          <w:szCs w:val="20"/>
        </w:rPr>
        <w:t xml:space="preserve">projects </w:t>
      </w:r>
      <w:r w:rsidR="00D930AF" w:rsidRPr="002C308E">
        <w:rPr>
          <w:rFonts w:ascii="VIC" w:hAnsi="VIC"/>
          <w:sz w:val="20"/>
          <w:szCs w:val="20"/>
        </w:rPr>
        <w:t xml:space="preserve">preferably within Victoria, completed within the last 5 years, </w:t>
      </w:r>
      <w:r w:rsidRPr="002C308E">
        <w:rPr>
          <w:rFonts w:ascii="VIC" w:hAnsi="VIC"/>
          <w:sz w:val="20"/>
          <w:szCs w:val="20"/>
        </w:rPr>
        <w:t>where the company has performed high-strain pile testing</w:t>
      </w:r>
      <w:r w:rsidR="00A11058" w:rsidRPr="002C308E">
        <w:rPr>
          <w:rFonts w:ascii="VIC" w:hAnsi="VIC"/>
          <w:sz w:val="20"/>
          <w:szCs w:val="20"/>
        </w:rPr>
        <w:t xml:space="preserve"> to demonstrate </w:t>
      </w:r>
      <w:r w:rsidR="00E12E9C" w:rsidRPr="002C308E">
        <w:rPr>
          <w:rFonts w:ascii="VIC" w:hAnsi="VIC"/>
          <w:sz w:val="20"/>
          <w:szCs w:val="20"/>
        </w:rPr>
        <w:t xml:space="preserve">that </w:t>
      </w:r>
      <w:r w:rsidR="003210AA" w:rsidRPr="002C308E">
        <w:rPr>
          <w:rFonts w:ascii="VIC" w:hAnsi="VIC"/>
          <w:sz w:val="20"/>
          <w:szCs w:val="20"/>
        </w:rPr>
        <w:t xml:space="preserve">all the above competencies. </w:t>
      </w:r>
    </w:p>
    <w:p w14:paraId="52540F80" w14:textId="77777777" w:rsidR="00695FC2" w:rsidRPr="00695FC2" w:rsidRDefault="008A7815" w:rsidP="004328A8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VIC" w:hAnsi="VIC"/>
          <w:sz w:val="20"/>
          <w:szCs w:val="20"/>
          <w:shd w:val="clear" w:color="auto" w:fill="FFFFFF"/>
        </w:rPr>
      </w:pPr>
      <w:r w:rsidRPr="00695FC2">
        <w:rPr>
          <w:rFonts w:ascii="VIC" w:hAnsi="VIC"/>
          <w:sz w:val="20"/>
          <w:szCs w:val="20"/>
        </w:rPr>
        <w:t>T</w:t>
      </w:r>
      <w:r w:rsidR="00170858" w:rsidRPr="00695FC2">
        <w:rPr>
          <w:rFonts w:ascii="VIC" w:hAnsi="VIC"/>
          <w:sz w:val="20"/>
          <w:szCs w:val="20"/>
        </w:rPr>
        <w:t>he application should include example report</w:t>
      </w:r>
      <w:r w:rsidR="00331DED" w:rsidRPr="00695FC2">
        <w:rPr>
          <w:rFonts w:ascii="VIC" w:hAnsi="VIC"/>
          <w:sz w:val="20"/>
          <w:szCs w:val="20"/>
        </w:rPr>
        <w:t>s</w:t>
      </w:r>
      <w:r w:rsidR="00715173" w:rsidRPr="00695FC2">
        <w:rPr>
          <w:rFonts w:ascii="VIC" w:hAnsi="VIC"/>
          <w:sz w:val="20"/>
          <w:szCs w:val="20"/>
        </w:rPr>
        <w:t xml:space="preserve"> </w:t>
      </w:r>
      <w:r w:rsidR="00C777CB" w:rsidRPr="00695FC2">
        <w:rPr>
          <w:rFonts w:ascii="VIC" w:hAnsi="VIC"/>
          <w:sz w:val="20"/>
          <w:szCs w:val="20"/>
        </w:rPr>
        <w:t xml:space="preserve">for each </w:t>
      </w:r>
      <w:r w:rsidR="00B92A80" w:rsidRPr="00695FC2">
        <w:rPr>
          <w:rFonts w:ascii="VIC" w:hAnsi="VIC"/>
          <w:sz w:val="20"/>
          <w:szCs w:val="20"/>
        </w:rPr>
        <w:t xml:space="preserve">employee selected </w:t>
      </w:r>
      <w:r w:rsidR="00715173" w:rsidRPr="00695FC2">
        <w:rPr>
          <w:rFonts w:ascii="VIC" w:hAnsi="VIC"/>
          <w:sz w:val="20"/>
          <w:szCs w:val="20"/>
        </w:rPr>
        <w:t xml:space="preserve">from </w:t>
      </w:r>
      <w:r w:rsidR="000F2901" w:rsidRPr="00695FC2">
        <w:rPr>
          <w:rFonts w:ascii="VIC" w:hAnsi="VIC"/>
          <w:sz w:val="20"/>
          <w:szCs w:val="20"/>
        </w:rPr>
        <w:t xml:space="preserve">the provided project summaries </w:t>
      </w:r>
      <w:r w:rsidR="00331DED" w:rsidRPr="00695FC2">
        <w:rPr>
          <w:rFonts w:ascii="VIC" w:hAnsi="VIC"/>
          <w:sz w:val="20"/>
          <w:szCs w:val="20"/>
        </w:rPr>
        <w:t xml:space="preserve">which </w:t>
      </w:r>
      <w:r w:rsidR="00B92A80" w:rsidRPr="00695FC2">
        <w:rPr>
          <w:rFonts w:ascii="VIC" w:hAnsi="VIC"/>
          <w:sz w:val="20"/>
          <w:szCs w:val="20"/>
        </w:rPr>
        <w:t>demonstrate</w:t>
      </w:r>
      <w:r w:rsidR="00331DED" w:rsidRPr="00695FC2">
        <w:rPr>
          <w:rFonts w:ascii="VIC" w:hAnsi="VIC"/>
          <w:sz w:val="20"/>
          <w:szCs w:val="20"/>
        </w:rPr>
        <w:t xml:space="preserve"> testing and reporting of both </w:t>
      </w:r>
      <w:r w:rsidR="00331DED" w:rsidRPr="00695FC2">
        <w:rPr>
          <w:rFonts w:ascii="VIC" w:hAnsi="VIC"/>
          <w:color w:val="000000" w:themeColor="text1"/>
          <w:sz w:val="20"/>
          <w:szCs w:val="20"/>
          <w:shd w:val="clear" w:color="auto" w:fill="FFFFFF"/>
        </w:rPr>
        <w:t>displacement and non-displacement piles</w:t>
      </w:r>
      <w:r w:rsidR="00170858" w:rsidRPr="00695FC2">
        <w:rPr>
          <w:rFonts w:ascii="VIC" w:hAnsi="VIC"/>
          <w:color w:val="000000" w:themeColor="text1"/>
          <w:sz w:val="20"/>
          <w:szCs w:val="20"/>
        </w:rPr>
        <w:t xml:space="preserve">. </w:t>
      </w:r>
      <w:r w:rsidR="00170858" w:rsidRPr="00695FC2">
        <w:rPr>
          <w:rFonts w:ascii="VIC" w:hAnsi="VIC"/>
          <w:sz w:val="20"/>
          <w:szCs w:val="20"/>
        </w:rPr>
        <w:t>The report must be in a format consistent with AS2159 from the summarised projects. The example reports should clearly indicate the type of pile tested and present the outcomes of testing</w:t>
      </w:r>
      <w:r w:rsidR="005C7764" w:rsidRPr="00695FC2">
        <w:rPr>
          <w:rFonts w:ascii="VIC" w:hAnsi="VIC"/>
          <w:sz w:val="20"/>
          <w:szCs w:val="20"/>
        </w:rPr>
        <w:t xml:space="preserve">. The detail of the report/s should be </w:t>
      </w:r>
      <w:r w:rsidR="00F522BA" w:rsidRPr="00695FC2">
        <w:rPr>
          <w:rFonts w:ascii="VIC" w:hAnsi="VIC"/>
          <w:sz w:val="20"/>
          <w:szCs w:val="20"/>
        </w:rPr>
        <w:t>consistent with the levels defined above.</w:t>
      </w:r>
      <w:r w:rsidR="00170858" w:rsidRPr="00695FC2">
        <w:rPr>
          <w:rFonts w:ascii="VIC" w:hAnsi="VIC"/>
          <w:sz w:val="20"/>
          <w:szCs w:val="20"/>
        </w:rPr>
        <w:t xml:space="preserve"> </w:t>
      </w:r>
    </w:p>
    <w:p w14:paraId="69E949B1" w14:textId="46B96B3E" w:rsidR="00170858" w:rsidRPr="00695FC2" w:rsidRDefault="00757544" w:rsidP="004328A8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VIC" w:hAnsi="VIC"/>
          <w:sz w:val="20"/>
          <w:szCs w:val="20"/>
          <w:shd w:val="clear" w:color="auto" w:fill="FFFFFF"/>
        </w:rPr>
      </w:pPr>
      <w:r w:rsidRPr="00695FC2">
        <w:rPr>
          <w:rFonts w:ascii="VIC" w:hAnsi="VIC"/>
          <w:sz w:val="20"/>
          <w:szCs w:val="20"/>
        </w:rPr>
        <w:t>The ge</w:t>
      </w:r>
      <w:r w:rsidR="007677A6" w:rsidRPr="00695FC2">
        <w:rPr>
          <w:rFonts w:ascii="VIC" w:hAnsi="VIC"/>
          <w:sz w:val="20"/>
          <w:szCs w:val="20"/>
        </w:rPr>
        <w:t>o</w:t>
      </w:r>
      <w:r w:rsidRPr="00695FC2">
        <w:rPr>
          <w:rFonts w:ascii="VIC" w:hAnsi="VIC"/>
          <w:sz w:val="20"/>
          <w:szCs w:val="20"/>
        </w:rPr>
        <w:t xml:space="preserve">technical pile testing specialists within the company should be a registered engineers and will be recorded with their Victorian Registered Engineer identifier and </w:t>
      </w:r>
      <w:r w:rsidRPr="00695FC2">
        <w:rPr>
          <w:rFonts w:ascii="VIC" w:hAnsi="VIC"/>
          <w:sz w:val="20"/>
          <w:szCs w:val="20"/>
          <w:shd w:val="clear" w:color="auto" w:fill="FFFFFF"/>
        </w:rPr>
        <w:t>Pile Dynamics Measurement and Analysis Proficiency Test (PDMAPT)</w:t>
      </w:r>
      <w:r w:rsidRPr="00695FC2">
        <w:rPr>
          <w:rFonts w:ascii="VIC" w:hAnsi="VIC"/>
          <w:sz w:val="20"/>
          <w:szCs w:val="20"/>
        </w:rPr>
        <w:t xml:space="preserve"> result</w:t>
      </w:r>
      <w:r w:rsidRPr="00695FC2">
        <w:rPr>
          <w:rFonts w:ascii="VIC" w:hAnsi="VIC"/>
          <w:sz w:val="20"/>
          <w:szCs w:val="20"/>
          <w:shd w:val="clear" w:color="auto" w:fill="FFFFFF"/>
        </w:rPr>
        <w:t xml:space="preserve">. </w:t>
      </w:r>
    </w:p>
    <w:p w14:paraId="13C72732" w14:textId="0F4B0C25" w:rsidR="00E566E7" w:rsidRPr="00E566E7" w:rsidRDefault="006C650B" w:rsidP="00E566E7">
      <w:pPr>
        <w:pStyle w:val="Heading2"/>
        <w:numPr>
          <w:ilvl w:val="0"/>
          <w:numId w:val="8"/>
        </w:numPr>
        <w:spacing w:before="0" w:after="0" w:line="240" w:lineRule="auto"/>
        <w:ind w:left="714" w:hanging="357"/>
        <w:rPr>
          <w:rFonts w:ascii="VIC" w:hAnsi="VIC"/>
          <w:color w:val="auto"/>
          <w:sz w:val="20"/>
          <w:szCs w:val="20"/>
        </w:rPr>
      </w:pPr>
      <w:r w:rsidRPr="001A76FB">
        <w:rPr>
          <w:rFonts w:ascii="VIC" w:hAnsi="VIC"/>
          <w:color w:val="auto"/>
          <w:sz w:val="20"/>
          <w:szCs w:val="20"/>
        </w:rPr>
        <w:t xml:space="preserve">The </w:t>
      </w:r>
      <w:r w:rsidR="00986E64" w:rsidRPr="001A76FB">
        <w:rPr>
          <w:rFonts w:ascii="VIC" w:hAnsi="VIC"/>
          <w:color w:val="auto"/>
          <w:sz w:val="20"/>
          <w:szCs w:val="20"/>
        </w:rPr>
        <w:t>application</w:t>
      </w:r>
      <w:r w:rsidRPr="001A76FB">
        <w:rPr>
          <w:rFonts w:ascii="VIC" w:hAnsi="VIC"/>
          <w:color w:val="auto"/>
          <w:sz w:val="20"/>
          <w:szCs w:val="20"/>
        </w:rPr>
        <w:t xml:space="preserve"> is required to nominate a minimum of (1) preferably Victorian staff (or as m</w:t>
      </w:r>
      <w:r w:rsidR="005557D5" w:rsidRPr="001A76FB">
        <w:rPr>
          <w:rFonts w:ascii="VIC" w:hAnsi="VIC"/>
          <w:color w:val="auto"/>
          <w:sz w:val="20"/>
          <w:szCs w:val="20"/>
        </w:rPr>
        <w:t xml:space="preserve">any required to demonstrate competencies in full) </w:t>
      </w:r>
      <w:r w:rsidRPr="001A76FB">
        <w:rPr>
          <w:rFonts w:ascii="VIC" w:hAnsi="VIC"/>
          <w:color w:val="auto"/>
          <w:sz w:val="20"/>
          <w:szCs w:val="20"/>
        </w:rPr>
        <w:t xml:space="preserve">and provide CVs that clearly outline at least </w:t>
      </w:r>
      <w:r w:rsidR="00E1622E" w:rsidRPr="001A76FB">
        <w:rPr>
          <w:rFonts w:ascii="VIC" w:hAnsi="VIC"/>
          <w:color w:val="auto"/>
          <w:sz w:val="20"/>
          <w:szCs w:val="20"/>
        </w:rPr>
        <w:t>3</w:t>
      </w:r>
      <w:r w:rsidRPr="001A76FB">
        <w:rPr>
          <w:rFonts w:ascii="VIC" w:hAnsi="VIC"/>
          <w:color w:val="auto"/>
          <w:sz w:val="20"/>
          <w:szCs w:val="20"/>
        </w:rPr>
        <w:t xml:space="preserve"> years of experience aligned with the competencies listed above.</w:t>
      </w:r>
    </w:p>
    <w:p w14:paraId="22CB663F" w14:textId="143DD63A" w:rsidR="00170858" w:rsidRPr="00E566E7" w:rsidRDefault="00B7376D" w:rsidP="004328A8">
      <w:pPr>
        <w:pStyle w:val="Heading2"/>
        <w:numPr>
          <w:ilvl w:val="0"/>
          <w:numId w:val="8"/>
        </w:numPr>
        <w:spacing w:before="0" w:after="0" w:line="240" w:lineRule="auto"/>
        <w:ind w:left="714" w:hanging="357"/>
        <w:rPr>
          <w:rFonts w:ascii="VIC" w:hAnsi="VIC"/>
          <w:color w:val="auto"/>
        </w:rPr>
      </w:pPr>
      <w:r>
        <w:rPr>
          <w:rFonts w:ascii="VIC" w:hAnsi="VIC"/>
          <w:color w:val="auto"/>
          <w:sz w:val="20"/>
          <w:szCs w:val="20"/>
          <w:shd w:val="clear" w:color="auto" w:fill="FFFFFF"/>
        </w:rPr>
        <w:t>Applications must demonstrate a</w:t>
      </w:r>
      <w:r w:rsidR="00E566E7">
        <w:rPr>
          <w:rFonts w:ascii="VIC" w:hAnsi="VIC"/>
          <w:color w:val="auto"/>
          <w:sz w:val="20"/>
          <w:szCs w:val="20"/>
          <w:shd w:val="clear" w:color="auto" w:fill="FFFFFF"/>
        </w:rPr>
        <w:t xml:space="preserve">t least one employee </w:t>
      </w:r>
      <w:r>
        <w:rPr>
          <w:rFonts w:ascii="VIC" w:hAnsi="VIC"/>
          <w:color w:val="auto"/>
          <w:sz w:val="20"/>
          <w:szCs w:val="20"/>
          <w:shd w:val="clear" w:color="auto" w:fill="FFFFFF"/>
        </w:rPr>
        <w:t>has</w:t>
      </w:r>
      <w:r w:rsidR="00E566E7">
        <w:rPr>
          <w:rFonts w:ascii="VIC" w:hAnsi="VIC"/>
          <w:color w:val="auto"/>
          <w:sz w:val="20"/>
          <w:szCs w:val="20"/>
          <w:shd w:val="clear" w:color="auto" w:fill="FFFFFF"/>
        </w:rPr>
        <w:t xml:space="preserve"> achieved Advanced level or higher. </w:t>
      </w:r>
    </w:p>
    <w:p w14:paraId="09C2EF2B" w14:textId="77777777" w:rsidR="004328A8" w:rsidRPr="004328A8" w:rsidRDefault="004328A8" w:rsidP="004328A8"/>
    <w:p w14:paraId="15D914B5" w14:textId="44C11A64" w:rsidR="00453354" w:rsidRPr="0038677B" w:rsidRDefault="00453354" w:rsidP="00453354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8677B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Definitions</w:t>
      </w:r>
    </w:p>
    <w:p w14:paraId="57628EF5" w14:textId="1929E165" w:rsidR="00757544" w:rsidRPr="00170858" w:rsidRDefault="00757544" w:rsidP="008A7815">
      <w:pPr>
        <w:pStyle w:val="ListParagraph"/>
        <w:numPr>
          <w:ilvl w:val="0"/>
          <w:numId w:val="6"/>
        </w:numPr>
        <w:rPr>
          <w:rFonts w:ascii="VIC" w:hAnsi="VIC"/>
          <w:sz w:val="20"/>
          <w:szCs w:val="20"/>
        </w:rPr>
      </w:pPr>
      <w:r w:rsidRPr="00170858">
        <w:rPr>
          <w:rFonts w:ascii="VIC" w:hAnsi="VIC"/>
          <w:sz w:val="20"/>
          <w:szCs w:val="20"/>
        </w:rPr>
        <w:t xml:space="preserve">Transport Infrastructure refers to the projects typically resulting in upgrade or construction of new roads and rail assets. Carparks and council/ industrial estate roads are not considered suitable projects nor </w:t>
      </w:r>
      <w:r w:rsidR="00BD48D4">
        <w:rPr>
          <w:rFonts w:ascii="VIC" w:hAnsi="VIC"/>
          <w:sz w:val="20"/>
          <w:szCs w:val="20"/>
        </w:rPr>
        <w:t>projects limited to defining</w:t>
      </w:r>
      <w:r w:rsidRPr="00170858">
        <w:rPr>
          <w:rFonts w:ascii="VIC" w:hAnsi="VIC"/>
          <w:sz w:val="20"/>
          <w:szCs w:val="20"/>
        </w:rPr>
        <w:t xml:space="preserve"> design groundwater levels. Preference should be given to presenting road projects where available.</w:t>
      </w:r>
    </w:p>
    <w:p w14:paraId="1C38DC2F" w14:textId="77777777" w:rsidR="00695FC2" w:rsidRDefault="00695FC2" w:rsidP="001805C5">
      <w:pPr>
        <w:pStyle w:val="Heading2"/>
        <w:rPr>
          <w:rFonts w:ascii="VIC" w:hAnsi="VIC"/>
        </w:rPr>
      </w:pPr>
    </w:p>
    <w:p w14:paraId="0571E860" w14:textId="7DE38381" w:rsidR="00CC0185" w:rsidRPr="00216DEB" w:rsidRDefault="00CC0185" w:rsidP="001805C5">
      <w:pPr>
        <w:pStyle w:val="Heading2"/>
        <w:rPr>
          <w:rFonts w:ascii="VIC" w:hAnsi="VIC"/>
        </w:rPr>
      </w:pPr>
      <w:r w:rsidRPr="00216DEB">
        <w:rPr>
          <w:rFonts w:ascii="VIC" w:hAnsi="VIC"/>
        </w:rPr>
        <w:t>Spreadsheet</w:t>
      </w:r>
    </w:p>
    <w:p w14:paraId="7DEC6936" w14:textId="77777777" w:rsidR="00CC0185" w:rsidRPr="00E566E7" w:rsidRDefault="00CC0185" w:rsidP="00CC0185">
      <w:pPr>
        <w:rPr>
          <w:rFonts w:ascii="VIC" w:eastAsiaTheme="majorEastAsia" w:hAnsi="VIC" w:cstheme="majorBidi"/>
          <w:sz w:val="20"/>
          <w:szCs w:val="20"/>
        </w:rPr>
      </w:pPr>
      <w:r w:rsidRPr="00E566E7">
        <w:rPr>
          <w:rFonts w:ascii="VIC" w:eastAsiaTheme="majorEastAsia" w:hAnsi="VIC" w:cstheme="majorBidi"/>
          <w:sz w:val="20"/>
          <w:szCs w:val="20"/>
        </w:rPr>
        <w:t xml:space="preserve">Please complete the Part B Spreadsheet linked below. </w:t>
      </w:r>
    </w:p>
    <w:p w14:paraId="462C4626" w14:textId="740FF2E5" w:rsidR="00CC0185" w:rsidRPr="00CC0185" w:rsidRDefault="00695FC2" w:rsidP="00CC0185">
      <w:pPr>
        <w:rPr>
          <w:rFonts w:ascii="VIC" w:eastAsia="Times New Roman" w:hAnsi="VIC" w:cs="Calibri"/>
          <w:sz w:val="20"/>
          <w:szCs w:val="20"/>
          <w:lang w:eastAsia="en-AU"/>
        </w:rPr>
      </w:pPr>
      <w:r>
        <w:rPr>
          <w:rFonts w:ascii="VIC" w:eastAsia="Times New Roman" w:hAnsi="VIC" w:cs="Calibri"/>
          <w:sz w:val="20"/>
          <w:szCs w:val="20"/>
          <w:lang w:eastAsia="en-AU"/>
        </w:rPr>
        <w:object w:dxaOrig="1517" w:dyaOrig="985" w14:anchorId="22E641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4" o:title=""/>
          </v:shape>
          <o:OLEObject Type="Embed" ProgID="Excel.Sheet.12" ShapeID="_x0000_i1025" DrawAspect="Icon" ObjectID="_1821352659" r:id="rId15"/>
        </w:object>
      </w:r>
    </w:p>
    <w:sectPr w:rsidR="00CC0185" w:rsidRPr="00CC0185" w:rsidSect="00A962DD">
      <w:headerReference w:type="default" r:id="rId16"/>
      <w:pgSz w:w="11908" w:h="16833" w:code="9"/>
      <w:pgMar w:top="1134" w:right="851" w:bottom="851" w:left="964" w:header="680" w:footer="431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12812" w14:textId="77777777" w:rsidR="00AC6DE7" w:rsidRDefault="00AC6DE7" w:rsidP="00EF050E">
      <w:pPr>
        <w:spacing w:after="0" w:line="240" w:lineRule="auto"/>
      </w:pPr>
      <w:r>
        <w:separator/>
      </w:r>
    </w:p>
  </w:endnote>
  <w:endnote w:type="continuationSeparator" w:id="0">
    <w:p w14:paraId="42A07884" w14:textId="77777777" w:rsidR="00AC6DE7" w:rsidRDefault="00AC6DE7" w:rsidP="00EF050E">
      <w:pPr>
        <w:spacing w:after="0" w:line="240" w:lineRule="auto"/>
      </w:pPr>
      <w:r>
        <w:continuationSeparator/>
      </w:r>
    </w:p>
  </w:endnote>
  <w:endnote w:type="continuationNotice" w:id="1">
    <w:p w14:paraId="1FFD6159" w14:textId="77777777" w:rsidR="00AC6DE7" w:rsidRDefault="00AC6D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D0C07" w14:textId="77777777" w:rsidR="00AC6DE7" w:rsidRDefault="00AC6DE7" w:rsidP="00EF050E">
      <w:pPr>
        <w:spacing w:after="0" w:line="240" w:lineRule="auto"/>
      </w:pPr>
      <w:r>
        <w:separator/>
      </w:r>
    </w:p>
  </w:footnote>
  <w:footnote w:type="continuationSeparator" w:id="0">
    <w:p w14:paraId="2F53149F" w14:textId="77777777" w:rsidR="00AC6DE7" w:rsidRDefault="00AC6DE7" w:rsidP="00EF050E">
      <w:pPr>
        <w:spacing w:after="0" w:line="240" w:lineRule="auto"/>
      </w:pPr>
      <w:r>
        <w:continuationSeparator/>
      </w:r>
    </w:p>
  </w:footnote>
  <w:footnote w:type="continuationNotice" w:id="1">
    <w:p w14:paraId="5362AFC5" w14:textId="77777777" w:rsidR="00AC6DE7" w:rsidRDefault="00AC6D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055"/>
    <w:multiLevelType w:val="hybridMultilevel"/>
    <w:tmpl w:val="67B4C294"/>
    <w:lvl w:ilvl="0" w:tplc="207A4744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5E2A"/>
    <w:multiLevelType w:val="hybridMultilevel"/>
    <w:tmpl w:val="522A802E"/>
    <w:lvl w:ilvl="0" w:tplc="FA2CF768">
      <w:start w:val="1"/>
      <w:numFmt w:val="decimal"/>
      <w:lvlText w:val="%1."/>
      <w:lvlJc w:val="left"/>
      <w:pPr>
        <w:ind w:left="1020" w:hanging="360"/>
      </w:pPr>
    </w:lvl>
    <w:lvl w:ilvl="1" w:tplc="F24033DA">
      <w:start w:val="1"/>
      <w:numFmt w:val="decimal"/>
      <w:lvlText w:val="%2."/>
      <w:lvlJc w:val="left"/>
      <w:pPr>
        <w:ind w:left="1020" w:hanging="360"/>
      </w:pPr>
    </w:lvl>
    <w:lvl w:ilvl="2" w:tplc="8B7ED8D8">
      <w:start w:val="1"/>
      <w:numFmt w:val="decimal"/>
      <w:lvlText w:val="%3."/>
      <w:lvlJc w:val="left"/>
      <w:pPr>
        <w:ind w:left="1020" w:hanging="360"/>
      </w:pPr>
    </w:lvl>
    <w:lvl w:ilvl="3" w:tplc="812AC2E4">
      <w:start w:val="1"/>
      <w:numFmt w:val="decimal"/>
      <w:lvlText w:val="%4."/>
      <w:lvlJc w:val="left"/>
      <w:pPr>
        <w:ind w:left="1020" w:hanging="360"/>
      </w:pPr>
    </w:lvl>
    <w:lvl w:ilvl="4" w:tplc="424E0166">
      <w:start w:val="1"/>
      <w:numFmt w:val="decimal"/>
      <w:lvlText w:val="%5."/>
      <w:lvlJc w:val="left"/>
      <w:pPr>
        <w:ind w:left="1020" w:hanging="360"/>
      </w:pPr>
    </w:lvl>
    <w:lvl w:ilvl="5" w:tplc="F906DD2A">
      <w:start w:val="1"/>
      <w:numFmt w:val="decimal"/>
      <w:lvlText w:val="%6."/>
      <w:lvlJc w:val="left"/>
      <w:pPr>
        <w:ind w:left="1020" w:hanging="360"/>
      </w:pPr>
    </w:lvl>
    <w:lvl w:ilvl="6" w:tplc="156629F4">
      <w:start w:val="1"/>
      <w:numFmt w:val="decimal"/>
      <w:lvlText w:val="%7."/>
      <w:lvlJc w:val="left"/>
      <w:pPr>
        <w:ind w:left="1020" w:hanging="360"/>
      </w:pPr>
    </w:lvl>
    <w:lvl w:ilvl="7" w:tplc="BBAC53A2">
      <w:start w:val="1"/>
      <w:numFmt w:val="decimal"/>
      <w:lvlText w:val="%8."/>
      <w:lvlJc w:val="left"/>
      <w:pPr>
        <w:ind w:left="1020" w:hanging="360"/>
      </w:pPr>
    </w:lvl>
    <w:lvl w:ilvl="8" w:tplc="F7C843A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A8952D8"/>
    <w:multiLevelType w:val="hybridMultilevel"/>
    <w:tmpl w:val="BEC87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22CC7"/>
    <w:multiLevelType w:val="hybridMultilevel"/>
    <w:tmpl w:val="F0DCD1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27E94"/>
    <w:multiLevelType w:val="hybridMultilevel"/>
    <w:tmpl w:val="F798298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AB4BB7"/>
    <w:multiLevelType w:val="hybridMultilevel"/>
    <w:tmpl w:val="9BCA39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num w:numId="1" w16cid:durableId="1944342648">
    <w:abstractNumId w:val="10"/>
  </w:num>
  <w:num w:numId="2" w16cid:durableId="365838606">
    <w:abstractNumId w:val="3"/>
  </w:num>
  <w:num w:numId="3" w16cid:durableId="1083841058">
    <w:abstractNumId w:val="4"/>
  </w:num>
  <w:num w:numId="4" w16cid:durableId="1915121307">
    <w:abstractNumId w:val="2"/>
  </w:num>
  <w:num w:numId="5" w16cid:durableId="761491786">
    <w:abstractNumId w:val="6"/>
  </w:num>
  <w:num w:numId="6" w16cid:durableId="1150975626">
    <w:abstractNumId w:val="5"/>
  </w:num>
  <w:num w:numId="7" w16cid:durableId="1248423695">
    <w:abstractNumId w:val="8"/>
  </w:num>
  <w:num w:numId="8" w16cid:durableId="351806969">
    <w:abstractNumId w:val="0"/>
  </w:num>
  <w:num w:numId="9" w16cid:durableId="1479540852">
    <w:abstractNumId w:val="1"/>
  </w:num>
  <w:num w:numId="10" w16cid:durableId="1931229069">
    <w:abstractNumId w:val="9"/>
  </w:num>
  <w:num w:numId="11" w16cid:durableId="159436300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112F2"/>
    <w:rsid w:val="00023F70"/>
    <w:rsid w:val="00041DFF"/>
    <w:rsid w:val="000473BD"/>
    <w:rsid w:val="00072A56"/>
    <w:rsid w:val="000A31F9"/>
    <w:rsid w:val="000B0565"/>
    <w:rsid w:val="000B6319"/>
    <w:rsid w:val="000B6FC3"/>
    <w:rsid w:val="000D533F"/>
    <w:rsid w:val="000F2901"/>
    <w:rsid w:val="000F3F7D"/>
    <w:rsid w:val="00106D85"/>
    <w:rsid w:val="00120665"/>
    <w:rsid w:val="0015650D"/>
    <w:rsid w:val="00163164"/>
    <w:rsid w:val="00166AE8"/>
    <w:rsid w:val="00170858"/>
    <w:rsid w:val="001805C5"/>
    <w:rsid w:val="001A76FB"/>
    <w:rsid w:val="001C2250"/>
    <w:rsid w:val="001D5DF6"/>
    <w:rsid w:val="002117A8"/>
    <w:rsid w:val="002417DC"/>
    <w:rsid w:val="002478C6"/>
    <w:rsid w:val="002C308E"/>
    <w:rsid w:val="003210AA"/>
    <w:rsid w:val="003217BC"/>
    <w:rsid w:val="00331DED"/>
    <w:rsid w:val="00347518"/>
    <w:rsid w:val="00352DA0"/>
    <w:rsid w:val="00353C30"/>
    <w:rsid w:val="0038677B"/>
    <w:rsid w:val="00397AA8"/>
    <w:rsid w:val="003A3925"/>
    <w:rsid w:val="003C528D"/>
    <w:rsid w:val="003D0B4A"/>
    <w:rsid w:val="003D560B"/>
    <w:rsid w:val="003E2A9F"/>
    <w:rsid w:val="00414675"/>
    <w:rsid w:val="004328A8"/>
    <w:rsid w:val="00433792"/>
    <w:rsid w:val="00453354"/>
    <w:rsid w:val="004A12D9"/>
    <w:rsid w:val="004A5566"/>
    <w:rsid w:val="004B0040"/>
    <w:rsid w:val="004E2F93"/>
    <w:rsid w:val="00500DBA"/>
    <w:rsid w:val="00507018"/>
    <w:rsid w:val="00510A79"/>
    <w:rsid w:val="00512B8F"/>
    <w:rsid w:val="00532270"/>
    <w:rsid w:val="00541081"/>
    <w:rsid w:val="00542F56"/>
    <w:rsid w:val="00544AAA"/>
    <w:rsid w:val="005557D5"/>
    <w:rsid w:val="0056449A"/>
    <w:rsid w:val="005953C9"/>
    <w:rsid w:val="00595805"/>
    <w:rsid w:val="00596179"/>
    <w:rsid w:val="005A0E78"/>
    <w:rsid w:val="005C7764"/>
    <w:rsid w:val="005E2042"/>
    <w:rsid w:val="005F761A"/>
    <w:rsid w:val="00603B03"/>
    <w:rsid w:val="00625F91"/>
    <w:rsid w:val="00635FF0"/>
    <w:rsid w:val="00646A08"/>
    <w:rsid w:val="00670E63"/>
    <w:rsid w:val="00695FC2"/>
    <w:rsid w:val="006A69A0"/>
    <w:rsid w:val="006C650B"/>
    <w:rsid w:val="007003D6"/>
    <w:rsid w:val="007029A7"/>
    <w:rsid w:val="00710031"/>
    <w:rsid w:val="00715173"/>
    <w:rsid w:val="00746F88"/>
    <w:rsid w:val="00751EC3"/>
    <w:rsid w:val="00757544"/>
    <w:rsid w:val="007677A6"/>
    <w:rsid w:val="00782758"/>
    <w:rsid w:val="007B33E9"/>
    <w:rsid w:val="007C67D7"/>
    <w:rsid w:val="007D596B"/>
    <w:rsid w:val="007F68B9"/>
    <w:rsid w:val="0081691B"/>
    <w:rsid w:val="00826538"/>
    <w:rsid w:val="00830C03"/>
    <w:rsid w:val="00851EEF"/>
    <w:rsid w:val="008572E1"/>
    <w:rsid w:val="008A6485"/>
    <w:rsid w:val="008A7815"/>
    <w:rsid w:val="008C7A92"/>
    <w:rsid w:val="008D2154"/>
    <w:rsid w:val="009029F9"/>
    <w:rsid w:val="00915018"/>
    <w:rsid w:val="00986E64"/>
    <w:rsid w:val="00990E42"/>
    <w:rsid w:val="009D54CA"/>
    <w:rsid w:val="00A11058"/>
    <w:rsid w:val="00A22824"/>
    <w:rsid w:val="00A37022"/>
    <w:rsid w:val="00A50C05"/>
    <w:rsid w:val="00A962DD"/>
    <w:rsid w:val="00A97FE7"/>
    <w:rsid w:val="00AA6781"/>
    <w:rsid w:val="00AC6DE7"/>
    <w:rsid w:val="00AE023D"/>
    <w:rsid w:val="00AF04A6"/>
    <w:rsid w:val="00B10112"/>
    <w:rsid w:val="00B1212F"/>
    <w:rsid w:val="00B371CB"/>
    <w:rsid w:val="00B4498A"/>
    <w:rsid w:val="00B52607"/>
    <w:rsid w:val="00B7376D"/>
    <w:rsid w:val="00B86941"/>
    <w:rsid w:val="00B875F9"/>
    <w:rsid w:val="00B9082E"/>
    <w:rsid w:val="00B92A80"/>
    <w:rsid w:val="00BB768A"/>
    <w:rsid w:val="00BD48D4"/>
    <w:rsid w:val="00BD531D"/>
    <w:rsid w:val="00BE13E0"/>
    <w:rsid w:val="00C3539D"/>
    <w:rsid w:val="00C528BD"/>
    <w:rsid w:val="00C65DD7"/>
    <w:rsid w:val="00C777CB"/>
    <w:rsid w:val="00CC0185"/>
    <w:rsid w:val="00D329F8"/>
    <w:rsid w:val="00D3759A"/>
    <w:rsid w:val="00D732CF"/>
    <w:rsid w:val="00D77857"/>
    <w:rsid w:val="00D930AF"/>
    <w:rsid w:val="00DC2E8E"/>
    <w:rsid w:val="00E02F4B"/>
    <w:rsid w:val="00E03320"/>
    <w:rsid w:val="00E12E9C"/>
    <w:rsid w:val="00E1622E"/>
    <w:rsid w:val="00E566E7"/>
    <w:rsid w:val="00E7045F"/>
    <w:rsid w:val="00EB6548"/>
    <w:rsid w:val="00ED0BD5"/>
    <w:rsid w:val="00ED7F69"/>
    <w:rsid w:val="00EE08A6"/>
    <w:rsid w:val="00EE2EA1"/>
    <w:rsid w:val="00EF050E"/>
    <w:rsid w:val="00F07769"/>
    <w:rsid w:val="00F07CDF"/>
    <w:rsid w:val="00F20EF8"/>
    <w:rsid w:val="00F522BA"/>
    <w:rsid w:val="00F56F84"/>
    <w:rsid w:val="00F57AF7"/>
    <w:rsid w:val="00F649AD"/>
    <w:rsid w:val="00F669F5"/>
    <w:rsid w:val="00F727A9"/>
    <w:rsid w:val="00FA2178"/>
    <w:rsid w:val="00FA5D50"/>
    <w:rsid w:val="00FC4A6C"/>
    <w:rsid w:val="00FD2259"/>
    <w:rsid w:val="00FF4777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uiPriority w:val="99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38677B"/>
    <w:pPr>
      <w:spacing w:before="240" w:after="120" w:line="240" w:lineRule="auto"/>
      <w:ind w:left="680" w:hanging="680"/>
      <w:contextualSpacing/>
    </w:pPr>
    <w:rPr>
      <w:b/>
      <w:sz w:val="24"/>
      <w:szCs w:val="26"/>
    </w:rPr>
  </w:style>
  <w:style w:type="character" w:customStyle="1" w:styleId="Heading2-NumberedChar">
    <w:name w:val="Heading 2 - Numbered Char"/>
    <w:basedOn w:val="Heading2Char"/>
    <w:link w:val="Heading2-Numbered"/>
    <w:uiPriority w:val="9"/>
    <w:rsid w:val="0038677B"/>
    <w:rPr>
      <w:rFonts w:asciiTheme="majorHAnsi" w:eastAsiaTheme="majorEastAsia" w:hAnsiTheme="majorHAnsi" w:cstheme="majorBidi"/>
      <w:b/>
      <w:color w:val="0F476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equal@transport.vic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.xlsx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a399a3-3b21-46d6-9c8b-b184098d8e42" xsi:nil="true"/>
    <UpdateComments xmlns="28e7cb17-2731-456e-a397-f8b5a353404b" xsi:nil="true"/>
    <lcf76f155ced4ddcb4097134ff3c332f xmlns="28e7cb17-2731-456e-a397-f8b5a353404b">
      <Terms xmlns="http://schemas.microsoft.com/office/infopath/2007/PartnerControls"/>
    </lcf76f155ced4ddcb4097134ff3c332f>
    <_Flow_SignoffStatus xmlns="28e7cb17-2731-456e-a397-f8b5a353404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07F2173C74B48B0DC6DD66252AA3C" ma:contentTypeVersion="10" ma:contentTypeDescription="Create a new document." ma:contentTypeScope="" ma:versionID="61d6378f69b7bc3432f9d1b5957b6da2">
  <xsd:schema xmlns:xsd="http://www.w3.org/2001/XMLSchema" xmlns:xs="http://www.w3.org/2001/XMLSchema" xmlns:p="http://schemas.microsoft.com/office/2006/metadata/properties" xmlns:ns2="28e7cb17-2731-456e-a397-f8b5a353404b" xmlns:ns3="89a399a3-3b21-46d6-9c8b-b184098d8e42" xmlns:ns4="04b71389-1906-47c5-851f-358a89a05ede" xmlns:ns5="60241be0-662e-4965-8cd3-ab8051b8fa86" targetNamespace="http://schemas.microsoft.com/office/2006/metadata/properties" ma:root="true" ma:fieldsID="89e330300b0ea6345b1fefe57be135a8" ns2:_="" ns3:_="" ns4:_="" ns5:_="">
    <xsd:import namespace="28e7cb17-2731-456e-a397-f8b5a353404b"/>
    <xsd:import namespace="89a399a3-3b21-46d6-9c8b-b184098d8e42"/>
    <xsd:import namespace="04b71389-1906-47c5-851f-358a89a05ede"/>
    <xsd:import namespace="60241be0-662e-4965-8cd3-ab8051b8fa8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Update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7cb17-2731-456e-a397-f8b5a35340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UpdateComments" ma:index="26" nillable="true" ma:displayName="Update Comments" ma:format="Dropdown" ma:internalName="Updat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399a3-3b21-46d6-9c8b-b184098d8e4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a209446-763c-41eb-9b2a-c55e93451afa}" ma:internalName="TaxCatchAll" ma:showField="CatchAllData" ma:web="89a399a3-3b21-46d6-9c8b-b184098d8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71389-1906-47c5-851f-358a89a05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41be0-662e-4965-8cd3-ab8051b8fa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91B82-74F5-434F-9BD1-01774BE5B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D4841-324D-4C46-A18A-C09538DB9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9A721-003E-4D6B-AEF9-99660CF09A04}">
  <ds:schemaRefs>
    <ds:schemaRef ds:uri="http://schemas.microsoft.com/office/2006/metadata/properties"/>
    <ds:schemaRef ds:uri="http://schemas.microsoft.com/office/infopath/2007/PartnerControls"/>
    <ds:schemaRef ds:uri="89a399a3-3b21-46d6-9c8b-b184098d8e42"/>
    <ds:schemaRef ds:uri="28e7cb17-2731-456e-a397-f8b5a353404b"/>
  </ds:schemaRefs>
</ds:datastoreItem>
</file>

<file path=customXml/itemProps4.xml><?xml version="1.0" encoding="utf-8"?>
<ds:datastoreItem xmlns:ds="http://schemas.openxmlformats.org/officeDocument/2006/customXml" ds:itemID="{B784C296-4BE8-42B6-BD73-8CA5485DE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7cb17-2731-456e-a397-f8b5a353404b"/>
    <ds:schemaRef ds:uri="89a399a3-3b21-46d6-9c8b-b184098d8e42"/>
    <ds:schemaRef ds:uri="04b71389-1906-47c5-851f-358a89a05ede"/>
    <ds:schemaRef ds:uri="60241be0-662e-4965-8cd3-ab8051b8f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798</Words>
  <Characters>4482</Characters>
  <Application>Microsoft Office Word</Application>
  <DocSecurity>0</DocSecurity>
  <Lines>179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Links>
    <vt:vector size="6" baseType="variant">
      <vt:variant>
        <vt:i4>7733342</vt:i4>
      </vt:variant>
      <vt:variant>
        <vt:i4>0</vt:i4>
      </vt:variant>
      <vt:variant>
        <vt:i4>0</vt:i4>
      </vt:variant>
      <vt:variant>
        <vt:i4>5</vt:i4>
      </vt:variant>
      <vt:variant>
        <vt:lpwstr>mailto:prequal@transport.vic.gov.au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2</cp:revision>
  <dcterms:created xsi:type="dcterms:W3CDTF">2025-10-07T03:31:00Z</dcterms:created>
  <dcterms:modified xsi:type="dcterms:W3CDTF">2025-10-07T03:31:00Z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0x0101008C707F2173C74B48B0DC6DD66252AA3C</vt:lpwstr>
  </property>
</Properties>
</file>