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sdtContent>
        <w:p w14:paraId="7917F952" w14:textId="655FFAEA" w:rsidR="00EF050E" w:rsidRPr="00EF050E" w:rsidRDefault="00EF050E" w:rsidP="00EF050E">
          <w:pPr>
            <w:pStyle w:val="LightDocumentType"/>
            <w:rPr>
              <w:rFonts w:ascii="VIC" w:hAnsi="VIC"/>
            </w:rPr>
          </w:pPr>
        </w:p>
        <w:p w14:paraId="27C4C13E" w14:textId="596C7922" w:rsidR="00EF050E" w:rsidRPr="00205756" w:rsidRDefault="00EF050E">
          <w:pPr>
            <w:pStyle w:val="LightReportTite"/>
            <w:rPr>
              <w:rFonts w:ascii="VIC" w:hAnsi="VIC"/>
            </w:rPr>
          </w:pPr>
          <w:r w:rsidRPr="00205756">
            <w:rPr>
              <w:rFonts w:ascii="VIC" w:hAnsi="VIC"/>
              <w:noProof/>
            </w:rPr>
            <w:drawing>
              <wp:anchor distT="0" distB="0" distL="114300" distR="114300" simplePos="0" relativeHeight="251658241" behindDoc="1" locked="0" layoutInCell="1" allowOverlap="1" wp14:anchorId="76CD3688" wp14:editId="30872DBE">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205756">
            <w:rPr>
              <w:rFonts w:ascii="VIC" w:hAnsi="VIC"/>
              <w:noProof/>
            </w:rPr>
            <w:drawing>
              <wp:anchor distT="0" distB="0" distL="114300" distR="114300" simplePos="0" relativeHeight="251658240"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205756">
            <w:rPr>
              <w:rFonts w:ascii="VIC" w:hAnsi="VIC"/>
            </w:rPr>
            <w:t xml:space="preserve">Part B – </w:t>
          </w:r>
          <w:r w:rsidR="00432128" w:rsidRPr="00205756">
            <w:rPr>
              <w:rFonts w:ascii="VIC" w:hAnsi="VIC"/>
            </w:rPr>
            <w:t xml:space="preserve">Geotechnical Proof Engineering (GT-PRE) </w:t>
          </w:r>
          <w:r w:rsidR="00205756" w:rsidRPr="00205756">
            <w:rPr>
              <w:rFonts w:ascii="VIC" w:hAnsi="VIC"/>
            </w:rPr>
            <w:t>Level Application</w:t>
          </w:r>
        </w:p>
        <w:p w14:paraId="6F1E87BB" w14:textId="3451B361" w:rsidR="00EF050E" w:rsidRPr="00EF050E" w:rsidRDefault="00EF050E">
          <w:pPr>
            <w:rPr>
              <w:rFonts w:ascii="VIC" w:hAnsi="VIC"/>
            </w:rPr>
          </w:pPr>
          <w:r w:rsidRPr="00EF050E">
            <w:rPr>
              <w:rFonts w:ascii="VIC" w:hAnsi="VIC"/>
            </w:rPr>
            <w:br w:type="page"/>
          </w:r>
        </w:p>
      </w:sdtContent>
    </w:sdt>
    <w:p w14:paraId="29F0934F" w14:textId="77777777" w:rsidR="00205756" w:rsidRDefault="00205756" w:rsidP="00205756">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Pr>
          <w:rFonts w:ascii="VIC" w:eastAsiaTheme="majorEastAsia" w:hAnsi="VIC" w:cstheme="majorBidi"/>
          <w:color w:val="0F4761" w:themeColor="accent1" w:themeShade="BF"/>
          <w:kern w:val="2"/>
          <w:sz w:val="40"/>
          <w:szCs w:val="40"/>
          <w14:ligatures w14:val="standardContextual"/>
        </w:rPr>
        <w:lastRenderedPageBreak/>
        <w:t>Part B</w:t>
      </w:r>
    </w:p>
    <w:p w14:paraId="0D4FF453" w14:textId="77777777" w:rsidR="00205756" w:rsidRPr="00A227F3" w:rsidRDefault="00205756" w:rsidP="00205756">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Application Instructions</w:t>
      </w:r>
    </w:p>
    <w:p w14:paraId="4F5CD796" w14:textId="77777777" w:rsidR="00205756" w:rsidRDefault="00205756" w:rsidP="00205756">
      <w:pPr>
        <w:rPr>
          <w:rFonts w:ascii="VIC" w:hAnsi="VIC"/>
          <w:kern w:val="2"/>
          <w:sz w:val="20"/>
          <w:szCs w:val="20"/>
          <w14:ligatures w14:val="standardContextual"/>
        </w:rPr>
      </w:pPr>
    </w:p>
    <w:p w14:paraId="37C7819D" w14:textId="77777777" w:rsidR="00205756" w:rsidRPr="00C26958" w:rsidRDefault="00205756" w:rsidP="00205756">
      <w:pPr>
        <w:rPr>
          <w:rFonts w:ascii="VIC" w:hAnsi="VIC"/>
          <w:kern w:val="2"/>
          <w:sz w:val="20"/>
          <w:szCs w:val="20"/>
          <w14:ligatures w14:val="standardContextual"/>
        </w:rPr>
      </w:pPr>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7BC441FE" w14:textId="77777777" w:rsidR="00205756" w:rsidRPr="00A227F3" w:rsidRDefault="00205756" w:rsidP="00205756">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3324A4EF" w14:textId="77777777" w:rsidR="00205756" w:rsidRPr="00A227F3" w:rsidRDefault="00205756" w:rsidP="00205756">
      <w:pPr>
        <w:pStyle w:val="ListParagraph"/>
        <w:numPr>
          <w:ilvl w:val="1"/>
          <w:numId w:val="5"/>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1FD841D0" w14:textId="77777777" w:rsidR="00205756" w:rsidRPr="00A227F3" w:rsidRDefault="00205756" w:rsidP="00205756">
      <w:pPr>
        <w:pStyle w:val="ListParagraph"/>
        <w:numPr>
          <w:ilvl w:val="1"/>
          <w:numId w:val="5"/>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46618BFF" w14:textId="77777777" w:rsidR="00205756" w:rsidRPr="00FC2B38" w:rsidRDefault="00205756" w:rsidP="00205756">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2744A1C3" w14:textId="77777777" w:rsidR="00205756" w:rsidRPr="00A227F3" w:rsidRDefault="00205756" w:rsidP="00205756">
      <w:pPr>
        <w:pStyle w:val="ListParagraph"/>
        <w:widowControl w:val="0"/>
        <w:numPr>
          <w:ilvl w:val="0"/>
          <w:numId w:val="3"/>
        </w:numPr>
        <w:spacing w:after="0" w:line="240" w:lineRule="auto"/>
        <w:rPr>
          <w:rFonts w:ascii="VIC" w:hAnsi="VIC"/>
          <w:sz w:val="20"/>
          <w:szCs w:val="20"/>
        </w:rPr>
      </w:pPr>
      <w:bookmarkStart w:id="0" w:name="_Hlk199688864"/>
      <w:r w:rsidRPr="00A227F3">
        <w:rPr>
          <w:rFonts w:ascii="VIC" w:hAnsi="VIC"/>
          <w:sz w:val="20"/>
          <w:szCs w:val="20"/>
        </w:rPr>
        <w:t>Applications will only be considered where all the requirements of the Part A and Part B applications forms are completed</w:t>
      </w:r>
    </w:p>
    <w:p w14:paraId="0EFE6D71" w14:textId="77777777" w:rsidR="00205756" w:rsidRPr="00A227F3" w:rsidRDefault="00205756" w:rsidP="00205756">
      <w:pPr>
        <w:pStyle w:val="ListParagraph"/>
        <w:widowControl w:val="0"/>
        <w:numPr>
          <w:ilvl w:val="0"/>
          <w:numId w:val="3"/>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51B932FC" w14:textId="77777777" w:rsidR="00205756" w:rsidRPr="00A227F3" w:rsidRDefault="00205756" w:rsidP="00205756">
      <w:pPr>
        <w:pStyle w:val="ListParagraph"/>
        <w:widowControl w:val="0"/>
        <w:numPr>
          <w:ilvl w:val="0"/>
          <w:numId w:val="3"/>
        </w:numPr>
        <w:spacing w:after="0" w:line="240" w:lineRule="auto"/>
        <w:rPr>
          <w:rFonts w:ascii="VIC" w:hAnsi="VIC"/>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be in English. </w:t>
      </w:r>
    </w:p>
    <w:p w14:paraId="48E5CA75" w14:textId="77777777" w:rsidR="00205756" w:rsidRPr="00C26958" w:rsidRDefault="00205756" w:rsidP="00205756">
      <w:pPr>
        <w:pStyle w:val="ListParagraph"/>
        <w:widowControl w:val="0"/>
        <w:numPr>
          <w:ilvl w:val="0"/>
          <w:numId w:val="3"/>
        </w:numPr>
        <w:spacing w:after="0" w:line="240" w:lineRule="auto"/>
        <w:rPr>
          <w:rFonts w:ascii="VIC" w:hAnsi="VIC"/>
          <w:b/>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not have any redacted sections. </w:t>
      </w:r>
    </w:p>
    <w:p w14:paraId="3294CD56" w14:textId="77777777" w:rsidR="00205756" w:rsidRDefault="00205756" w:rsidP="00205756">
      <w:pPr>
        <w:pStyle w:val="ListParagraph"/>
        <w:widowControl w:val="0"/>
        <w:spacing w:after="0" w:line="240" w:lineRule="auto"/>
        <w:rPr>
          <w:rFonts w:ascii="VIC" w:hAnsi="VIC"/>
          <w:b/>
          <w:sz w:val="20"/>
          <w:szCs w:val="20"/>
        </w:rPr>
      </w:pPr>
    </w:p>
    <w:p w14:paraId="11962620" w14:textId="77777777" w:rsidR="00205756" w:rsidRPr="00A227F3" w:rsidRDefault="00205756" w:rsidP="00205756">
      <w:pPr>
        <w:pStyle w:val="ListParagraph"/>
        <w:widowControl w:val="0"/>
        <w:spacing w:after="0" w:line="240" w:lineRule="auto"/>
        <w:rPr>
          <w:rFonts w:ascii="VIC" w:hAnsi="VIC"/>
          <w:b/>
          <w:sz w:val="20"/>
          <w:szCs w:val="20"/>
        </w:rPr>
      </w:pPr>
    </w:p>
    <w:bookmarkEnd w:id="0"/>
    <w:p w14:paraId="484150D9" w14:textId="77777777" w:rsidR="00205756" w:rsidRPr="00EE2D8C" w:rsidRDefault="00205756" w:rsidP="0020575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0CC769A8" w14:textId="77777777" w:rsidR="00205756" w:rsidRDefault="00205756" w:rsidP="00205756">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592CF6D2" w14:textId="77777777" w:rsidR="00205756" w:rsidRPr="00892ECD" w:rsidRDefault="00205756" w:rsidP="00205756">
      <w:pPr>
        <w:pStyle w:val="ListParagraph"/>
        <w:keepNext/>
        <w:keepLines/>
        <w:numPr>
          <w:ilvl w:val="0"/>
          <w:numId w:val="14"/>
        </w:numPr>
        <w:spacing w:before="360" w:after="80"/>
        <w:outlineLvl w:val="0"/>
        <w:rPr>
          <w:rFonts w:ascii="VIC" w:eastAsiaTheme="majorEastAsia" w:hAnsi="VIC" w:cstheme="majorBidi"/>
          <w:color w:val="0F4761" w:themeColor="accent1" w:themeShade="BF"/>
          <w:kern w:val="2"/>
          <w:sz w:val="40"/>
          <w:szCs w:val="40"/>
          <w14:ligatures w14:val="standardContextual"/>
        </w:rPr>
      </w:pPr>
      <w:r w:rsidRPr="00892ECD">
        <w:rPr>
          <w:rFonts w:ascii="VIC" w:hAnsi="VIC"/>
          <w:kern w:val="2"/>
          <w:sz w:val="20"/>
          <w:szCs w:val="20"/>
          <w14:ligatures w14:val="standardContextual"/>
        </w:rPr>
        <w:t xml:space="preserve">Upload your application (Part A and Part B), including the spreadsheet and supporting documents to a cloud storage service and email the link to </w:t>
      </w:r>
      <w:hyperlink r:id="rId13" w:history="1">
        <w:r w:rsidRPr="00892ECD">
          <w:rPr>
            <w:rFonts w:ascii="VIC" w:hAnsi="VIC"/>
            <w:color w:val="0000FF"/>
            <w:kern w:val="2"/>
            <w:sz w:val="20"/>
            <w:szCs w:val="20"/>
            <w:u w:val="single"/>
            <w14:ligatures w14:val="standardContextual"/>
          </w:rPr>
          <w:t>prequal@transport.vic.gov.au</w:t>
        </w:r>
      </w:hyperlink>
    </w:p>
    <w:p w14:paraId="2D05B73F" w14:textId="77777777" w:rsidR="00205756" w:rsidRDefault="00205756" w:rsidP="00205756">
      <w:pPr>
        <w:ind w:left="720"/>
        <w:contextualSpacing/>
        <w:rPr>
          <w:rFonts w:ascii="VIC" w:hAnsi="VIC"/>
          <w:b/>
          <w:i/>
          <w:kern w:val="2"/>
          <w:sz w:val="20"/>
          <w:szCs w:val="20"/>
          <w14:ligatures w14:val="standardContextual"/>
        </w:rPr>
      </w:pPr>
      <w:r w:rsidRPr="002A1BA5">
        <w:rPr>
          <w:rFonts w:ascii="VIC" w:hAnsi="VIC"/>
          <w:b/>
          <w:i/>
          <w:kern w:val="2"/>
          <w:sz w:val="20"/>
          <w:szCs w:val="20"/>
          <w14:ligatures w14:val="standardContextual"/>
        </w:rPr>
        <w:t xml:space="preserve">** Applications will only be accepted from </w:t>
      </w:r>
      <w:proofErr w:type="gramStart"/>
      <w:r w:rsidRPr="002A1BA5">
        <w:rPr>
          <w:rFonts w:ascii="VIC" w:hAnsi="VIC"/>
          <w:b/>
          <w:i/>
          <w:kern w:val="2"/>
          <w:sz w:val="20"/>
          <w:szCs w:val="20"/>
          <w14:ligatures w14:val="standardContextual"/>
        </w:rPr>
        <w:t>cloud based</w:t>
      </w:r>
      <w:proofErr w:type="gramEnd"/>
      <w:r w:rsidRPr="002A1BA5">
        <w:rPr>
          <w:rFonts w:ascii="VIC" w:hAnsi="VIC"/>
          <w:b/>
          <w:i/>
          <w:kern w:val="2"/>
          <w:sz w:val="20"/>
          <w:szCs w:val="20"/>
          <w14:ligatures w14:val="standardContextual"/>
        </w:rPr>
        <w:t xml:space="preserve"> storage services</w:t>
      </w:r>
    </w:p>
    <w:p w14:paraId="4F53C760" w14:textId="77777777" w:rsidR="00205756" w:rsidRPr="00A227F3" w:rsidRDefault="00205756" w:rsidP="00205756">
      <w:pPr>
        <w:ind w:left="720"/>
        <w:contextualSpacing/>
        <w:rPr>
          <w:rFonts w:ascii="VIC" w:hAnsi="VIC"/>
          <w:b/>
          <w:i/>
          <w:kern w:val="2"/>
          <w:sz w:val="20"/>
          <w:szCs w:val="20"/>
          <w14:ligatures w14:val="standardContextual"/>
        </w:rPr>
      </w:pPr>
    </w:p>
    <w:p w14:paraId="5C147F65" w14:textId="77777777" w:rsidR="00205756" w:rsidRPr="00A227F3" w:rsidRDefault="00205756" w:rsidP="00205756">
      <w:pPr>
        <w:numPr>
          <w:ilvl w:val="0"/>
          <w:numId w:val="4"/>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2E5D2C49" w14:textId="77777777" w:rsidR="00CC0185" w:rsidRDefault="00CC0185" w:rsidP="003D0B4A">
      <w:pPr>
        <w:pStyle w:val="Subtitle"/>
        <w:rPr>
          <w:sz w:val="48"/>
          <w:szCs w:val="48"/>
        </w:rPr>
      </w:pPr>
    </w:p>
    <w:p w14:paraId="5A906332" w14:textId="77777777" w:rsidR="00205756" w:rsidRDefault="00205756" w:rsidP="00205756"/>
    <w:p w14:paraId="0A0C52FC" w14:textId="77777777" w:rsidR="00205756" w:rsidRPr="00205756" w:rsidRDefault="00205756" w:rsidP="00205756"/>
    <w:p w14:paraId="7ADDDCF3" w14:textId="77777777" w:rsidR="00CC0185" w:rsidRDefault="00CC0185" w:rsidP="003D0B4A">
      <w:pPr>
        <w:pStyle w:val="Subtitle"/>
        <w:rPr>
          <w:sz w:val="48"/>
          <w:szCs w:val="48"/>
        </w:rPr>
      </w:pPr>
    </w:p>
    <w:p w14:paraId="39CB5A17" w14:textId="77777777" w:rsidR="00CC0185" w:rsidRDefault="00CC0185" w:rsidP="003D0B4A">
      <w:pPr>
        <w:pStyle w:val="Subtitle"/>
        <w:rPr>
          <w:sz w:val="48"/>
          <w:szCs w:val="48"/>
        </w:rPr>
      </w:pPr>
    </w:p>
    <w:p w14:paraId="5E30FD8E" w14:textId="77777777" w:rsidR="00CC0185" w:rsidRPr="00CC0185" w:rsidRDefault="00CC0185" w:rsidP="00CC0185"/>
    <w:p w14:paraId="4BB32CFC" w14:textId="2C7258F4" w:rsidR="003D0B4A" w:rsidRPr="00205756" w:rsidRDefault="003D0B4A" w:rsidP="003D0B4A">
      <w:pPr>
        <w:pStyle w:val="Subtitle"/>
        <w:rPr>
          <w:rFonts w:ascii="VIC" w:hAnsi="VIC"/>
          <w:b/>
          <w:color w:val="0F4761" w:themeColor="accent1" w:themeShade="BF"/>
          <w:spacing w:val="0"/>
          <w:sz w:val="32"/>
          <w:szCs w:val="32"/>
        </w:rPr>
      </w:pPr>
      <w:r w:rsidRPr="00205756">
        <w:rPr>
          <w:rFonts w:ascii="VIC" w:hAnsi="VIC"/>
          <w:b/>
          <w:color w:val="0F4761" w:themeColor="accent1" w:themeShade="BF"/>
          <w:spacing w:val="0"/>
          <w:sz w:val="32"/>
          <w:szCs w:val="32"/>
        </w:rPr>
        <w:lastRenderedPageBreak/>
        <w:t xml:space="preserve">Part B </w:t>
      </w:r>
    </w:p>
    <w:p w14:paraId="396E7A42" w14:textId="39D937A6" w:rsidR="00603B03" w:rsidRDefault="00C17E80" w:rsidP="00544AAA">
      <w:pPr>
        <w:spacing w:after="0" w:line="240" w:lineRule="auto"/>
        <w:rPr>
          <w:rFonts w:ascii="VIC" w:eastAsiaTheme="majorEastAsia" w:hAnsi="VIC" w:cstheme="majorBidi"/>
          <w:b/>
          <w:color w:val="0F4761" w:themeColor="accent1" w:themeShade="BF"/>
          <w:sz w:val="32"/>
          <w:szCs w:val="32"/>
        </w:rPr>
      </w:pPr>
      <w:r w:rsidRPr="00C17E80">
        <w:rPr>
          <w:rFonts w:ascii="VIC" w:eastAsiaTheme="majorEastAsia" w:hAnsi="VIC" w:cstheme="majorBidi"/>
          <w:b/>
          <w:color w:val="0F4761" w:themeColor="accent1" w:themeShade="BF"/>
          <w:sz w:val="32"/>
          <w:szCs w:val="32"/>
        </w:rPr>
        <w:t>Geotechnical Proof Engineering (GT-PRE)</w:t>
      </w:r>
    </w:p>
    <w:p w14:paraId="6042C3E0" w14:textId="77777777" w:rsidR="00C17E80" w:rsidRDefault="00C17E80" w:rsidP="00544AAA">
      <w:pPr>
        <w:spacing w:after="0" w:line="240" w:lineRule="auto"/>
        <w:rPr>
          <w:rFonts w:ascii="VIC" w:eastAsiaTheme="majorEastAsia" w:hAnsi="VIC" w:cstheme="majorBidi"/>
          <w:color w:val="0F4761" w:themeColor="accent1" w:themeShade="BF"/>
          <w:sz w:val="32"/>
          <w:szCs w:val="32"/>
        </w:rPr>
      </w:pPr>
    </w:p>
    <w:p w14:paraId="2526D284" w14:textId="41A5240A" w:rsidR="003D0B4A" w:rsidRDefault="003D0B4A" w:rsidP="00544AAA">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About this Level</w:t>
      </w:r>
    </w:p>
    <w:p w14:paraId="7552BF65" w14:textId="77777777" w:rsidR="00544AAA" w:rsidRPr="00F57AF7" w:rsidRDefault="00544AAA" w:rsidP="00544AAA">
      <w:pPr>
        <w:spacing w:after="0" w:line="240" w:lineRule="auto"/>
        <w:rPr>
          <w:rFonts w:ascii="VIC" w:hAnsi="VIC"/>
          <w:sz w:val="20"/>
          <w:szCs w:val="20"/>
        </w:rPr>
      </w:pPr>
    </w:p>
    <w:p w14:paraId="12D2938F" w14:textId="38B41AA9" w:rsidR="00C17E80" w:rsidRDefault="00C17E80" w:rsidP="00C17E80">
      <w:pPr>
        <w:spacing w:after="0" w:line="240" w:lineRule="auto"/>
        <w:rPr>
          <w:rFonts w:ascii="VIC" w:hAnsi="VIC"/>
          <w:sz w:val="20"/>
          <w:szCs w:val="20"/>
        </w:rPr>
      </w:pPr>
      <w:r w:rsidRPr="00C17E80">
        <w:rPr>
          <w:rFonts w:ascii="VIC" w:hAnsi="VIC"/>
          <w:sz w:val="20"/>
          <w:szCs w:val="20"/>
        </w:rPr>
        <w:t xml:space="preserve">Geotechnical proof engineering involves the process </w:t>
      </w:r>
      <w:r w:rsidR="00315879">
        <w:rPr>
          <w:rFonts w:ascii="VIC" w:hAnsi="VIC"/>
          <w:sz w:val="20"/>
          <w:szCs w:val="20"/>
        </w:rPr>
        <w:t>of</w:t>
      </w:r>
      <w:r w:rsidR="00315879" w:rsidRPr="00C17E80">
        <w:rPr>
          <w:rFonts w:ascii="VIC" w:hAnsi="VIC"/>
          <w:sz w:val="20"/>
          <w:szCs w:val="20"/>
        </w:rPr>
        <w:t xml:space="preserve"> </w:t>
      </w:r>
      <w:r w:rsidRPr="00C17E80">
        <w:rPr>
          <w:rFonts w:ascii="VIC" w:hAnsi="VIC"/>
          <w:sz w:val="20"/>
          <w:szCs w:val="20"/>
        </w:rPr>
        <w:t xml:space="preserve">independent review, evaluation, and verification of geotechnical designs to ensure they comply with technical standards and Project Requirements Specifications (PRS) or Client Required Specifications (CRS). The requirements for proof engineering are outlined in </w:t>
      </w:r>
      <w:r w:rsidRPr="00032206">
        <w:rPr>
          <w:rFonts w:ascii="VIC" w:hAnsi="VIC"/>
          <w:sz w:val="20"/>
          <w:szCs w:val="20"/>
        </w:rPr>
        <w:t xml:space="preserve">the DTP </w:t>
      </w:r>
      <w:r w:rsidR="00032206" w:rsidRPr="00032206">
        <w:rPr>
          <w:rFonts w:ascii="VIC" w:hAnsi="VIC"/>
          <w:sz w:val="20"/>
          <w:szCs w:val="20"/>
        </w:rPr>
        <w:t xml:space="preserve">Proof Engineering Policy. </w:t>
      </w:r>
    </w:p>
    <w:p w14:paraId="62EB6B99" w14:textId="77777777" w:rsidR="00C17E80" w:rsidRPr="00C17E80" w:rsidRDefault="00C17E80" w:rsidP="00C17E80">
      <w:pPr>
        <w:spacing w:after="0" w:line="240" w:lineRule="auto"/>
        <w:rPr>
          <w:rFonts w:ascii="VIC" w:hAnsi="VIC"/>
          <w:sz w:val="20"/>
          <w:szCs w:val="20"/>
        </w:rPr>
      </w:pPr>
    </w:p>
    <w:p w14:paraId="693E74E8" w14:textId="33738CFF" w:rsidR="00B9082E" w:rsidRDefault="00C17E80" w:rsidP="00C17E80">
      <w:pPr>
        <w:spacing w:after="0" w:line="240" w:lineRule="auto"/>
        <w:rPr>
          <w:rFonts w:ascii="VIC" w:hAnsi="VIC"/>
          <w:sz w:val="20"/>
          <w:szCs w:val="20"/>
        </w:rPr>
      </w:pPr>
      <w:r w:rsidRPr="00C17E80">
        <w:rPr>
          <w:rFonts w:ascii="VIC" w:hAnsi="VIC"/>
          <w:sz w:val="20"/>
          <w:szCs w:val="20"/>
        </w:rPr>
        <w:t>A proof engineering certifies that design risks have been thoroughly addressed and that the design complies fully with the PRS and relevant standards.</w:t>
      </w:r>
    </w:p>
    <w:p w14:paraId="14194B96" w14:textId="77777777" w:rsidR="00205756" w:rsidRDefault="00205756" w:rsidP="00C17E80">
      <w:pPr>
        <w:spacing w:after="0" w:line="240" w:lineRule="auto"/>
        <w:rPr>
          <w:rFonts w:ascii="VIC" w:hAnsi="VIC"/>
          <w:sz w:val="20"/>
          <w:szCs w:val="20"/>
        </w:rPr>
      </w:pPr>
    </w:p>
    <w:p w14:paraId="22F511E2" w14:textId="77777777" w:rsidR="00205756" w:rsidRDefault="00205756" w:rsidP="00205756">
      <w:pPr>
        <w:spacing w:after="0" w:line="240" w:lineRule="auto"/>
        <w:rPr>
          <w:rFonts w:ascii="VIC" w:hAnsi="VIC"/>
          <w:sz w:val="20"/>
          <w:szCs w:val="20"/>
        </w:rPr>
      </w:pPr>
      <w:r w:rsidRPr="004B39F4">
        <w:rPr>
          <w:rFonts w:ascii="VIC" w:hAnsi="VIC"/>
          <w:sz w:val="20"/>
          <w:szCs w:val="20"/>
        </w:rPr>
        <w:t>Applications for this level requires the company to nominate an employee/s that meet the eligibility requirements.</w:t>
      </w:r>
      <w:r w:rsidRPr="00371A09">
        <w:rPr>
          <w:rFonts w:ascii="VIC" w:hAnsi="VIC"/>
          <w:sz w:val="20"/>
          <w:szCs w:val="20"/>
        </w:rPr>
        <w:t xml:space="preserve"> </w:t>
      </w:r>
    </w:p>
    <w:p w14:paraId="5284DB2F" w14:textId="77777777" w:rsidR="00205756" w:rsidRDefault="00205756" w:rsidP="00B9082E">
      <w:pPr>
        <w:spacing w:after="0" w:line="240" w:lineRule="auto"/>
        <w:rPr>
          <w:rFonts w:ascii="VIC" w:eastAsiaTheme="majorEastAsia" w:hAnsi="VIC" w:cstheme="majorBidi"/>
          <w:color w:val="0F4761" w:themeColor="accent1" w:themeShade="BF"/>
          <w:sz w:val="32"/>
          <w:szCs w:val="32"/>
        </w:rPr>
      </w:pPr>
    </w:p>
    <w:p w14:paraId="447C1B15" w14:textId="25E4B873" w:rsidR="00B9082E" w:rsidRDefault="003D0B4A" w:rsidP="00B9082E">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Areas of Competency</w:t>
      </w:r>
    </w:p>
    <w:p w14:paraId="591F92AC" w14:textId="77777777" w:rsidR="00B9082E" w:rsidRDefault="00B9082E" w:rsidP="00B9082E">
      <w:pPr>
        <w:spacing w:after="0" w:line="240" w:lineRule="auto"/>
        <w:rPr>
          <w:rFonts w:ascii="VIC" w:hAnsi="VIC"/>
          <w:sz w:val="20"/>
          <w:szCs w:val="20"/>
        </w:rPr>
      </w:pPr>
    </w:p>
    <w:p w14:paraId="5312F8B3" w14:textId="77777777" w:rsidR="00AC5107" w:rsidRDefault="00AC5107" w:rsidP="00AC5107">
      <w:pPr>
        <w:spacing w:after="0" w:line="240" w:lineRule="auto"/>
        <w:rPr>
          <w:rFonts w:ascii="VIC" w:hAnsi="VIC"/>
          <w:sz w:val="20"/>
          <w:szCs w:val="20"/>
        </w:rPr>
      </w:pPr>
      <w:r w:rsidRPr="00B9082E">
        <w:rPr>
          <w:rFonts w:ascii="VIC" w:hAnsi="VIC"/>
          <w:sz w:val="20"/>
          <w:szCs w:val="20"/>
        </w:rPr>
        <w:t>Applications must demonstrate the following areas of competency:</w:t>
      </w:r>
    </w:p>
    <w:p w14:paraId="6FE1CB6B" w14:textId="77777777" w:rsidR="00463F67" w:rsidRDefault="00463F67" w:rsidP="00AC5107">
      <w:pPr>
        <w:spacing w:after="0" w:line="240" w:lineRule="auto"/>
        <w:rPr>
          <w:rFonts w:ascii="VIC" w:hAnsi="VIC"/>
          <w:sz w:val="20"/>
          <w:szCs w:val="20"/>
        </w:rPr>
      </w:pPr>
    </w:p>
    <w:p w14:paraId="74299E05" w14:textId="77777777" w:rsidR="006F1602" w:rsidRDefault="006F1602" w:rsidP="006F1602">
      <w:pPr>
        <w:pStyle w:val="ListParagraph"/>
        <w:numPr>
          <w:ilvl w:val="0"/>
          <w:numId w:val="9"/>
        </w:numPr>
        <w:rPr>
          <w:rFonts w:ascii="VIC" w:hAnsi="VIC"/>
          <w:sz w:val="20"/>
          <w:szCs w:val="20"/>
        </w:rPr>
      </w:pPr>
      <w:r w:rsidRPr="00B9082E">
        <w:rPr>
          <w:rFonts w:ascii="VIC" w:hAnsi="VIC"/>
          <w:sz w:val="20"/>
          <w:szCs w:val="20"/>
        </w:rPr>
        <w:t>Interpret and plan geotechnical investigations related to Transport Infrastructure</w:t>
      </w:r>
      <w:r>
        <w:rPr>
          <w:rFonts w:ascii="VIC" w:hAnsi="VIC"/>
          <w:sz w:val="20"/>
          <w:szCs w:val="20"/>
          <w:vertAlign w:val="superscript"/>
        </w:rPr>
        <w:t>1</w:t>
      </w:r>
      <w:r w:rsidRPr="00B9082E">
        <w:rPr>
          <w:rFonts w:ascii="VIC" w:hAnsi="VIC"/>
          <w:sz w:val="20"/>
          <w:szCs w:val="20"/>
        </w:rPr>
        <w:t xml:space="preserve"> design and complex</w:t>
      </w:r>
      <w:r>
        <w:rPr>
          <w:rFonts w:ascii="VIC" w:hAnsi="VIC"/>
          <w:sz w:val="20"/>
          <w:szCs w:val="20"/>
        </w:rPr>
        <w:t xml:space="preserve"> </w:t>
      </w:r>
      <w:r w:rsidRPr="00B9082E">
        <w:rPr>
          <w:rFonts w:ascii="VIC" w:hAnsi="VIC"/>
          <w:sz w:val="20"/>
          <w:szCs w:val="20"/>
        </w:rPr>
        <w:t>geological conditions</w:t>
      </w:r>
      <w:r w:rsidRPr="009E3EDA">
        <w:rPr>
          <w:rFonts w:ascii="VIC" w:hAnsi="VIC"/>
          <w:sz w:val="20"/>
          <w:szCs w:val="20"/>
          <w:vertAlign w:val="superscript"/>
        </w:rPr>
        <w:t>2</w:t>
      </w:r>
      <w:r w:rsidRPr="00B9082E">
        <w:rPr>
          <w:rFonts w:ascii="VIC" w:hAnsi="VIC"/>
          <w:sz w:val="20"/>
          <w:szCs w:val="20"/>
        </w:rPr>
        <w:t>, including the development of a geological model, the identification of project geological risks, and the interpretation of the results.</w:t>
      </w:r>
    </w:p>
    <w:p w14:paraId="5258ACEB" w14:textId="2C0A02D6" w:rsidR="00610E82" w:rsidRPr="00DD7329" w:rsidRDefault="006F5EA4" w:rsidP="00B45CAC">
      <w:pPr>
        <w:pStyle w:val="ListParagraph"/>
        <w:numPr>
          <w:ilvl w:val="0"/>
          <w:numId w:val="9"/>
        </w:numPr>
        <w:rPr>
          <w:rFonts w:ascii="VIC" w:hAnsi="VIC"/>
          <w:sz w:val="20"/>
          <w:szCs w:val="20"/>
        </w:rPr>
      </w:pPr>
      <w:r>
        <w:rPr>
          <w:rFonts w:ascii="VIC" w:hAnsi="VIC"/>
          <w:sz w:val="20"/>
          <w:szCs w:val="20"/>
        </w:rPr>
        <w:t xml:space="preserve">Geotechnical proof engineering </w:t>
      </w:r>
      <w:r w:rsidR="00E03B15">
        <w:rPr>
          <w:rFonts w:ascii="VIC" w:hAnsi="VIC"/>
          <w:sz w:val="20"/>
          <w:szCs w:val="20"/>
        </w:rPr>
        <w:t>individuals need to demonstrate</w:t>
      </w:r>
      <w:r w:rsidR="00060839">
        <w:rPr>
          <w:rFonts w:ascii="VIC" w:hAnsi="VIC"/>
          <w:sz w:val="20"/>
          <w:szCs w:val="20"/>
        </w:rPr>
        <w:t>:</w:t>
      </w:r>
    </w:p>
    <w:p w14:paraId="39C37D44" w14:textId="3148D5CC" w:rsidR="003B5FBB" w:rsidRPr="006F5EA4" w:rsidRDefault="003B5FBB" w:rsidP="00B45CAC">
      <w:pPr>
        <w:pStyle w:val="ListParagraph"/>
        <w:numPr>
          <w:ilvl w:val="0"/>
          <w:numId w:val="11"/>
        </w:numPr>
        <w:rPr>
          <w:rFonts w:ascii="VIC" w:hAnsi="VIC"/>
          <w:i/>
          <w:sz w:val="20"/>
          <w:szCs w:val="20"/>
        </w:rPr>
      </w:pPr>
      <w:r w:rsidRPr="006F5EA4">
        <w:rPr>
          <w:rFonts w:ascii="VIC" w:hAnsi="VIC"/>
          <w:sz w:val="20"/>
          <w:szCs w:val="20"/>
        </w:rPr>
        <w:t xml:space="preserve">Embankments and earthworks (cut and fill) </w:t>
      </w:r>
      <w:r w:rsidRPr="000C5114">
        <w:rPr>
          <w:rFonts w:ascii="VIC" w:hAnsi="VIC"/>
        </w:rPr>
        <w:t xml:space="preserve">- </w:t>
      </w:r>
      <w:r w:rsidRPr="000C5114">
        <w:rPr>
          <w:rFonts w:ascii="VIC" w:hAnsi="VIC"/>
          <w:sz w:val="20"/>
          <w:szCs w:val="20"/>
        </w:rPr>
        <w:t xml:space="preserve">For excavation, experience with both soil and rock </w:t>
      </w:r>
      <w:r w:rsidR="000C5114" w:rsidRPr="000C5114">
        <w:rPr>
          <w:rFonts w:ascii="VIC" w:hAnsi="VIC"/>
          <w:sz w:val="20"/>
          <w:szCs w:val="20"/>
        </w:rPr>
        <w:t>must</w:t>
      </w:r>
      <w:r w:rsidRPr="000C5114">
        <w:rPr>
          <w:rFonts w:ascii="VIC" w:hAnsi="VIC"/>
          <w:sz w:val="20"/>
          <w:szCs w:val="20"/>
        </w:rPr>
        <w:t xml:space="preserve"> be demonstrated at a company level (individuals must demonstrate at least one).</w:t>
      </w:r>
    </w:p>
    <w:p w14:paraId="00442A11" w14:textId="77777777" w:rsidR="00C17E80" w:rsidRPr="00DB40BB" w:rsidRDefault="00C17E80" w:rsidP="00B45CAC">
      <w:pPr>
        <w:pStyle w:val="ListParagraph"/>
        <w:numPr>
          <w:ilvl w:val="0"/>
          <w:numId w:val="11"/>
        </w:numPr>
        <w:rPr>
          <w:rFonts w:ascii="VIC" w:hAnsi="VIC"/>
          <w:sz w:val="20"/>
          <w:szCs w:val="20"/>
        </w:rPr>
      </w:pPr>
      <w:r w:rsidRPr="00DB40BB">
        <w:rPr>
          <w:rFonts w:ascii="VIC" w:hAnsi="VIC"/>
          <w:sz w:val="20"/>
          <w:szCs w:val="20"/>
        </w:rPr>
        <w:t>Structure foundations (a variety of types should be presented and must include bridge foundations).</w:t>
      </w:r>
    </w:p>
    <w:p w14:paraId="71FB1952" w14:textId="77777777" w:rsidR="009A3E6D" w:rsidRDefault="009A3E6D" w:rsidP="00B45CAC">
      <w:pPr>
        <w:pStyle w:val="ListParagraph"/>
        <w:numPr>
          <w:ilvl w:val="0"/>
          <w:numId w:val="11"/>
        </w:numPr>
        <w:rPr>
          <w:rFonts w:ascii="VIC" w:hAnsi="VIC"/>
          <w:sz w:val="20"/>
          <w:szCs w:val="20"/>
        </w:rPr>
      </w:pPr>
      <w:r w:rsidRPr="009A3E6D">
        <w:rPr>
          <w:rFonts w:ascii="VIC" w:hAnsi="VIC"/>
          <w:sz w:val="20"/>
          <w:szCs w:val="20"/>
        </w:rPr>
        <w:t>Retention structures (reinforced soil structures, soil nails/ground anchors, piled walls, gravity walls etc.).</w:t>
      </w:r>
    </w:p>
    <w:p w14:paraId="74D1011F" w14:textId="77777777" w:rsidR="002365B2" w:rsidRDefault="00506377" w:rsidP="002365B2">
      <w:pPr>
        <w:pStyle w:val="ListParagraph"/>
        <w:numPr>
          <w:ilvl w:val="1"/>
          <w:numId w:val="9"/>
        </w:numPr>
        <w:rPr>
          <w:rFonts w:ascii="VIC" w:hAnsi="VIC"/>
          <w:sz w:val="20"/>
          <w:szCs w:val="20"/>
        </w:rPr>
      </w:pPr>
      <w:r w:rsidRPr="00506377">
        <w:rPr>
          <w:rFonts w:ascii="VIC" w:hAnsi="VIC"/>
          <w:sz w:val="20"/>
          <w:szCs w:val="20"/>
        </w:rPr>
        <w:t>Slope stability remediation</w:t>
      </w:r>
      <w:r w:rsidR="002365B2">
        <w:rPr>
          <w:rFonts w:ascii="VIC" w:hAnsi="VIC"/>
          <w:sz w:val="20"/>
          <w:szCs w:val="20"/>
        </w:rPr>
        <w:t xml:space="preserve"> (must include back analysis of failure and risk assessment). </w:t>
      </w:r>
    </w:p>
    <w:p w14:paraId="6289D1F5" w14:textId="77777777" w:rsidR="00506377" w:rsidRPr="00506377" w:rsidRDefault="00506377" w:rsidP="00B45CAC">
      <w:pPr>
        <w:pStyle w:val="ListParagraph"/>
        <w:numPr>
          <w:ilvl w:val="0"/>
          <w:numId w:val="11"/>
        </w:numPr>
        <w:rPr>
          <w:rFonts w:ascii="VIC" w:hAnsi="VIC"/>
          <w:sz w:val="20"/>
          <w:szCs w:val="20"/>
        </w:rPr>
      </w:pPr>
      <w:r w:rsidRPr="00506377">
        <w:rPr>
          <w:rFonts w:ascii="VIC" w:hAnsi="VIC"/>
          <w:sz w:val="20"/>
          <w:szCs w:val="20"/>
        </w:rPr>
        <w:t>Bridge foundation load rating and strengthening.</w:t>
      </w:r>
    </w:p>
    <w:p w14:paraId="5C4887F5" w14:textId="77777777" w:rsidR="00506377" w:rsidRPr="00506377" w:rsidRDefault="00506377" w:rsidP="00B45CAC">
      <w:pPr>
        <w:pStyle w:val="ListParagraph"/>
        <w:numPr>
          <w:ilvl w:val="0"/>
          <w:numId w:val="11"/>
        </w:numPr>
        <w:rPr>
          <w:rFonts w:ascii="VIC" w:hAnsi="VIC"/>
          <w:sz w:val="20"/>
          <w:szCs w:val="20"/>
        </w:rPr>
      </w:pPr>
      <w:r w:rsidRPr="00506377">
        <w:rPr>
          <w:rFonts w:ascii="VIC" w:hAnsi="VIC"/>
          <w:sz w:val="20"/>
          <w:szCs w:val="20"/>
        </w:rPr>
        <w:t xml:space="preserve">Geotechnical instrumentation and monitoring. </w:t>
      </w:r>
    </w:p>
    <w:p w14:paraId="6594A7AE" w14:textId="77777777" w:rsidR="00506377" w:rsidRDefault="00506377" w:rsidP="00B45CAC">
      <w:pPr>
        <w:pStyle w:val="ListParagraph"/>
        <w:numPr>
          <w:ilvl w:val="0"/>
          <w:numId w:val="11"/>
        </w:numPr>
        <w:rPr>
          <w:rFonts w:ascii="VIC" w:hAnsi="VIC"/>
          <w:sz w:val="20"/>
          <w:szCs w:val="20"/>
        </w:rPr>
      </w:pPr>
      <w:r w:rsidRPr="00506377">
        <w:rPr>
          <w:rFonts w:ascii="VIC" w:hAnsi="VIC"/>
          <w:sz w:val="20"/>
          <w:szCs w:val="20"/>
        </w:rPr>
        <w:t xml:space="preserve">Complex ground improvement works, such as acceleration of consolidation with wick drains, CMC raft, etc. </w:t>
      </w:r>
    </w:p>
    <w:p w14:paraId="53D2402D" w14:textId="3F78FCFB" w:rsidR="002F2C3E" w:rsidRPr="00D07680" w:rsidRDefault="002F2C3E" w:rsidP="00B45CAC">
      <w:pPr>
        <w:pStyle w:val="ListParagraph"/>
        <w:numPr>
          <w:ilvl w:val="0"/>
          <w:numId w:val="11"/>
        </w:numPr>
        <w:rPr>
          <w:rFonts w:ascii="VIC" w:hAnsi="VIC"/>
          <w:sz w:val="20"/>
          <w:szCs w:val="20"/>
        </w:rPr>
      </w:pPr>
      <w:r>
        <w:rPr>
          <w:rFonts w:ascii="VIC" w:hAnsi="VIC"/>
          <w:sz w:val="20"/>
          <w:szCs w:val="20"/>
        </w:rPr>
        <w:t>Complex Geotechnical issues</w:t>
      </w:r>
      <w:r w:rsidR="005D5547" w:rsidRPr="005D5547">
        <w:rPr>
          <w:rFonts w:ascii="VIC" w:hAnsi="VIC"/>
          <w:sz w:val="20"/>
          <w:szCs w:val="20"/>
          <w:vertAlign w:val="superscript"/>
        </w:rPr>
        <w:t>3</w:t>
      </w:r>
    </w:p>
    <w:p w14:paraId="42AE83B3" w14:textId="550BB044" w:rsidR="00D07680" w:rsidRPr="00D07680" w:rsidRDefault="00D07680" w:rsidP="00B45CAC">
      <w:pPr>
        <w:pStyle w:val="ListParagraph"/>
        <w:numPr>
          <w:ilvl w:val="0"/>
          <w:numId w:val="11"/>
        </w:numPr>
        <w:rPr>
          <w:rFonts w:ascii="VIC" w:hAnsi="VIC"/>
          <w:sz w:val="20"/>
          <w:szCs w:val="20"/>
        </w:rPr>
      </w:pPr>
      <w:r>
        <w:rPr>
          <w:rFonts w:ascii="VIC" w:hAnsi="VIC"/>
          <w:sz w:val="20"/>
          <w:szCs w:val="20"/>
        </w:rPr>
        <w:t>Complex road projects</w:t>
      </w:r>
      <w:r>
        <w:rPr>
          <w:rFonts w:ascii="VIC" w:hAnsi="VIC"/>
          <w:sz w:val="20"/>
          <w:szCs w:val="20"/>
          <w:vertAlign w:val="superscript"/>
        </w:rPr>
        <w:t>4</w:t>
      </w:r>
    </w:p>
    <w:p w14:paraId="3DECD53F" w14:textId="4C99680E" w:rsidR="00F9672D" w:rsidRDefault="00021DE2" w:rsidP="00021DE2">
      <w:pPr>
        <w:pStyle w:val="ListParagraph"/>
        <w:numPr>
          <w:ilvl w:val="0"/>
          <w:numId w:val="9"/>
        </w:numPr>
        <w:rPr>
          <w:rFonts w:ascii="VIC" w:hAnsi="VIC"/>
          <w:sz w:val="20"/>
          <w:szCs w:val="20"/>
        </w:rPr>
      </w:pPr>
      <w:r w:rsidRPr="00DD7329">
        <w:rPr>
          <w:rFonts w:ascii="VIC" w:hAnsi="VIC"/>
          <w:sz w:val="20"/>
          <w:szCs w:val="20"/>
        </w:rPr>
        <w:t>Demonstrated knowledge and understanding of Australian standards, specifically AS</w:t>
      </w:r>
      <w:proofErr w:type="gramStart"/>
      <w:r w:rsidRPr="00DD7329">
        <w:rPr>
          <w:rFonts w:ascii="VIC" w:hAnsi="VIC"/>
          <w:sz w:val="20"/>
          <w:szCs w:val="20"/>
        </w:rPr>
        <w:t>5100,  BTN</w:t>
      </w:r>
      <w:proofErr w:type="gramEnd"/>
      <w:r w:rsidRPr="00DD7329">
        <w:rPr>
          <w:rFonts w:ascii="VIC" w:hAnsi="VIC"/>
          <w:sz w:val="20"/>
          <w:szCs w:val="20"/>
        </w:rPr>
        <w:t>023 and other relevant DTP publications</w:t>
      </w:r>
      <w:r w:rsidRPr="00DD7329">
        <w:rPr>
          <w:rFonts w:ascii="VIC" w:hAnsi="VIC"/>
        </w:rPr>
        <w:t xml:space="preserve"> </w:t>
      </w:r>
      <w:r w:rsidRPr="00DD7329">
        <w:rPr>
          <w:rFonts w:ascii="VIC" w:hAnsi="VIC"/>
          <w:sz w:val="20"/>
          <w:szCs w:val="20"/>
        </w:rPr>
        <w:t>and application of the document hierarchy.</w:t>
      </w:r>
      <w:r w:rsidRPr="00DD7329">
        <w:rPr>
          <w:rFonts w:ascii="VIC" w:hAnsi="VIC"/>
        </w:rPr>
        <w:t xml:space="preserve"> </w:t>
      </w:r>
      <w:r w:rsidRPr="00DD7329">
        <w:rPr>
          <w:rFonts w:ascii="VIC" w:hAnsi="VIC"/>
          <w:sz w:val="20"/>
          <w:szCs w:val="20"/>
        </w:rPr>
        <w:t xml:space="preserve">DTP requires applicants to have a clear understanding of process for addressing any </w:t>
      </w:r>
      <w:r w:rsidR="00020657">
        <w:rPr>
          <w:rFonts w:ascii="VIC" w:hAnsi="VIC"/>
          <w:sz w:val="20"/>
          <w:szCs w:val="20"/>
        </w:rPr>
        <w:t>departures</w:t>
      </w:r>
      <w:r w:rsidRPr="00DD7329">
        <w:rPr>
          <w:rFonts w:ascii="VIC" w:hAnsi="VIC"/>
          <w:sz w:val="20"/>
          <w:szCs w:val="20"/>
        </w:rPr>
        <w:t xml:space="preserve"> from the published standards and specifications. </w:t>
      </w:r>
    </w:p>
    <w:p w14:paraId="2AD902D4" w14:textId="77777777" w:rsidR="00205756" w:rsidRDefault="00205756" w:rsidP="00205756">
      <w:pPr>
        <w:rPr>
          <w:rFonts w:ascii="VIC" w:hAnsi="VIC"/>
          <w:sz w:val="20"/>
          <w:szCs w:val="20"/>
        </w:rPr>
      </w:pPr>
    </w:p>
    <w:p w14:paraId="427A8355" w14:textId="77777777" w:rsidR="00205756" w:rsidRDefault="00205756" w:rsidP="00205756">
      <w:pPr>
        <w:rPr>
          <w:rFonts w:ascii="VIC" w:hAnsi="VIC"/>
          <w:sz w:val="20"/>
          <w:szCs w:val="20"/>
        </w:rPr>
      </w:pPr>
    </w:p>
    <w:p w14:paraId="233DAAE5" w14:textId="77777777" w:rsidR="00205756" w:rsidRPr="00205756" w:rsidRDefault="00205756" w:rsidP="00205756">
      <w:pPr>
        <w:rPr>
          <w:rFonts w:ascii="VIC" w:hAnsi="VIC"/>
          <w:sz w:val="20"/>
          <w:szCs w:val="20"/>
        </w:rPr>
      </w:pPr>
    </w:p>
    <w:p w14:paraId="0AEF52B2" w14:textId="772E151C" w:rsidR="00021DE2" w:rsidRDefault="00021DE2" w:rsidP="00021DE2">
      <w:pPr>
        <w:pStyle w:val="ListParagraph"/>
        <w:numPr>
          <w:ilvl w:val="0"/>
          <w:numId w:val="9"/>
        </w:numPr>
        <w:rPr>
          <w:rFonts w:ascii="VIC" w:hAnsi="VIC"/>
          <w:sz w:val="20"/>
          <w:szCs w:val="20"/>
        </w:rPr>
      </w:pPr>
      <w:r w:rsidRPr="00DD7329">
        <w:rPr>
          <w:rFonts w:ascii="VIC" w:hAnsi="VIC"/>
          <w:sz w:val="20"/>
          <w:szCs w:val="20"/>
        </w:rPr>
        <w:lastRenderedPageBreak/>
        <w:t>A proof engineer must remain current with and adhere to DTP’s Proof Engineering Policy and design standards.</w:t>
      </w:r>
    </w:p>
    <w:p w14:paraId="725235D9" w14:textId="34D47F12" w:rsidR="00F97D37" w:rsidRPr="00131D7E" w:rsidRDefault="00205756" w:rsidP="00205756">
      <w:pPr>
        <w:spacing w:after="0" w:line="240" w:lineRule="auto"/>
        <w:rPr>
          <w:rFonts w:ascii="VIC" w:hAnsi="VIC"/>
          <w:sz w:val="20"/>
          <w:szCs w:val="20"/>
        </w:rPr>
      </w:pPr>
      <w:r>
        <w:rPr>
          <w:rFonts w:ascii="VIC" w:hAnsi="VIC"/>
          <w:sz w:val="20"/>
          <w:szCs w:val="20"/>
        </w:rPr>
        <w:t xml:space="preserve">**** </w:t>
      </w:r>
      <w:proofErr w:type="gramStart"/>
      <w:r w:rsidR="00131D7E">
        <w:rPr>
          <w:rFonts w:ascii="VIC" w:hAnsi="VIC"/>
          <w:sz w:val="20"/>
          <w:szCs w:val="20"/>
        </w:rPr>
        <w:t>Each individual</w:t>
      </w:r>
      <w:r w:rsidR="00E6150F">
        <w:rPr>
          <w:rFonts w:ascii="VIC" w:hAnsi="VIC"/>
          <w:sz w:val="20"/>
          <w:szCs w:val="20"/>
        </w:rPr>
        <w:t>’</w:t>
      </w:r>
      <w:r w:rsidR="00131D7E">
        <w:rPr>
          <w:rFonts w:ascii="VIC" w:hAnsi="VIC"/>
          <w:sz w:val="20"/>
          <w:szCs w:val="20"/>
        </w:rPr>
        <w:t>s</w:t>
      </w:r>
      <w:proofErr w:type="gramEnd"/>
      <w:r w:rsidR="00C17E80" w:rsidRPr="00131D7E">
        <w:rPr>
          <w:rFonts w:ascii="VIC" w:hAnsi="VIC"/>
          <w:sz w:val="20"/>
          <w:szCs w:val="20"/>
        </w:rPr>
        <w:t xml:space="preserve"> design experience and proof engineering experience will be reviewed. It is recognised that applicants’ proof engineering experience may not be in Victoria or on Transport Infrastructure, however it is critical that the activities presented are equivalent and relevant. </w:t>
      </w:r>
    </w:p>
    <w:p w14:paraId="5BBC198C" w14:textId="77777777" w:rsidR="00205756" w:rsidRDefault="00205756" w:rsidP="00205756">
      <w:pPr>
        <w:spacing w:after="0" w:line="240" w:lineRule="auto"/>
        <w:rPr>
          <w:rFonts w:ascii="VIC" w:eastAsiaTheme="majorEastAsia" w:hAnsi="VIC" w:cstheme="majorBidi"/>
          <w:color w:val="0F4761" w:themeColor="accent1" w:themeShade="BF"/>
          <w:sz w:val="32"/>
          <w:szCs w:val="32"/>
        </w:rPr>
      </w:pPr>
    </w:p>
    <w:p w14:paraId="3C18224F" w14:textId="0CFCDD22" w:rsidR="003D0B4A"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Prerequisites</w:t>
      </w:r>
    </w:p>
    <w:p w14:paraId="0F6C103A" w14:textId="77777777" w:rsidR="009F4E06" w:rsidRDefault="00C17E80" w:rsidP="008C7A92">
      <w:pPr>
        <w:rPr>
          <w:rFonts w:ascii="VIC" w:eastAsiaTheme="majorEastAsia" w:hAnsi="VIC" w:cstheme="majorBidi"/>
          <w:sz w:val="20"/>
          <w:szCs w:val="20"/>
        </w:rPr>
      </w:pPr>
      <w:r w:rsidRPr="00083FE3">
        <w:rPr>
          <w:rFonts w:ascii="VIC" w:eastAsiaTheme="majorEastAsia" w:hAnsi="VIC" w:cstheme="majorBidi"/>
          <w:sz w:val="20"/>
          <w:szCs w:val="20"/>
          <w:u w:val="single"/>
        </w:rPr>
        <w:t>Companies</w:t>
      </w:r>
      <w:r w:rsidRPr="00C17E80">
        <w:rPr>
          <w:rFonts w:ascii="VIC" w:eastAsiaTheme="majorEastAsia" w:hAnsi="VIC" w:cstheme="majorBidi"/>
          <w:sz w:val="20"/>
          <w:szCs w:val="20"/>
        </w:rPr>
        <w:t xml:space="preserve"> applying for this level must have </w:t>
      </w:r>
      <w:r>
        <w:rPr>
          <w:rFonts w:ascii="VIC" w:eastAsiaTheme="majorEastAsia" w:hAnsi="VIC" w:cstheme="majorBidi"/>
          <w:sz w:val="20"/>
          <w:szCs w:val="20"/>
        </w:rPr>
        <w:t xml:space="preserve">held </w:t>
      </w:r>
      <w:r w:rsidRPr="00C17E80">
        <w:rPr>
          <w:rFonts w:ascii="VIC" w:eastAsiaTheme="majorEastAsia" w:hAnsi="VIC" w:cstheme="majorBidi"/>
          <w:sz w:val="20"/>
          <w:szCs w:val="20"/>
        </w:rPr>
        <w:t>prequalifi</w:t>
      </w:r>
      <w:r>
        <w:rPr>
          <w:rFonts w:ascii="VIC" w:eastAsiaTheme="majorEastAsia" w:hAnsi="VIC" w:cstheme="majorBidi"/>
          <w:sz w:val="20"/>
          <w:szCs w:val="20"/>
        </w:rPr>
        <w:t>cation at the Geotechnical Design (</w:t>
      </w:r>
      <w:r w:rsidRPr="00C17E80">
        <w:rPr>
          <w:rFonts w:ascii="VIC" w:eastAsiaTheme="majorEastAsia" w:hAnsi="VIC" w:cstheme="majorBidi"/>
          <w:sz w:val="20"/>
          <w:szCs w:val="20"/>
        </w:rPr>
        <w:t>GT-DES</w:t>
      </w:r>
      <w:r>
        <w:rPr>
          <w:rFonts w:ascii="VIC" w:eastAsiaTheme="majorEastAsia" w:hAnsi="VIC" w:cstheme="majorBidi"/>
          <w:sz w:val="20"/>
          <w:szCs w:val="20"/>
        </w:rPr>
        <w:t xml:space="preserve">) level for a </w:t>
      </w:r>
      <w:r w:rsidRPr="00C17E80">
        <w:rPr>
          <w:rFonts w:ascii="VIC" w:eastAsiaTheme="majorEastAsia" w:hAnsi="VIC" w:cstheme="majorBidi"/>
          <w:sz w:val="20"/>
          <w:szCs w:val="20"/>
        </w:rPr>
        <w:t xml:space="preserve">minimum of 5 years.  </w:t>
      </w:r>
    </w:p>
    <w:p w14:paraId="1E5C2D0E" w14:textId="3FB73D50" w:rsidR="00B9082E" w:rsidRDefault="005562A1" w:rsidP="008C7A92">
      <w:pPr>
        <w:rPr>
          <w:rFonts w:ascii="VIC" w:eastAsiaTheme="majorEastAsia" w:hAnsi="VIC" w:cstheme="majorBidi"/>
          <w:sz w:val="20"/>
          <w:szCs w:val="20"/>
        </w:rPr>
      </w:pPr>
      <w:r w:rsidRPr="00083FE3">
        <w:rPr>
          <w:rFonts w:ascii="VIC" w:eastAsiaTheme="majorEastAsia" w:hAnsi="VIC" w:cstheme="majorBidi"/>
          <w:sz w:val="20"/>
          <w:szCs w:val="20"/>
          <w:u w:val="single"/>
        </w:rPr>
        <w:t>Individuals</w:t>
      </w:r>
      <w:r>
        <w:rPr>
          <w:rFonts w:ascii="VIC" w:eastAsiaTheme="majorEastAsia" w:hAnsi="VIC" w:cstheme="majorBidi"/>
          <w:sz w:val="20"/>
          <w:szCs w:val="20"/>
        </w:rPr>
        <w:t xml:space="preserve"> </w:t>
      </w:r>
      <w:r w:rsidR="00FA48FC">
        <w:rPr>
          <w:rFonts w:ascii="VIC" w:eastAsiaTheme="majorEastAsia" w:hAnsi="VIC" w:cstheme="majorBidi"/>
          <w:sz w:val="20"/>
          <w:szCs w:val="20"/>
        </w:rPr>
        <w:t xml:space="preserve">must be </w:t>
      </w:r>
      <w:r w:rsidR="004D288A">
        <w:rPr>
          <w:rFonts w:ascii="VIC" w:eastAsiaTheme="majorEastAsia" w:hAnsi="VIC" w:cstheme="majorBidi"/>
          <w:sz w:val="20"/>
          <w:szCs w:val="20"/>
        </w:rPr>
        <w:t>approved for</w:t>
      </w:r>
      <w:r w:rsidR="00FA48FC">
        <w:rPr>
          <w:rFonts w:ascii="VIC" w:eastAsiaTheme="majorEastAsia" w:hAnsi="VIC" w:cstheme="majorBidi"/>
          <w:sz w:val="20"/>
          <w:szCs w:val="20"/>
        </w:rPr>
        <w:t xml:space="preserve"> GT-DES</w:t>
      </w:r>
      <w:r w:rsidR="004D288A">
        <w:rPr>
          <w:rFonts w:ascii="VIC" w:eastAsiaTheme="majorEastAsia" w:hAnsi="VIC" w:cstheme="majorBidi"/>
          <w:sz w:val="20"/>
          <w:szCs w:val="20"/>
        </w:rPr>
        <w:t>.</w:t>
      </w:r>
    </w:p>
    <w:p w14:paraId="751A9000" w14:textId="17134A36" w:rsidR="009F4E06" w:rsidRPr="00453354" w:rsidRDefault="009F4E06" w:rsidP="008C7A92">
      <w:pPr>
        <w:rPr>
          <w:rFonts w:ascii="VIC" w:eastAsiaTheme="majorEastAsia" w:hAnsi="VIC" w:cstheme="majorBidi"/>
          <w:sz w:val="20"/>
          <w:szCs w:val="20"/>
        </w:rPr>
      </w:pPr>
      <w:r w:rsidRPr="00C17E80">
        <w:rPr>
          <w:rFonts w:ascii="VIC" w:eastAsiaTheme="majorEastAsia" w:hAnsi="VIC" w:cstheme="majorBidi"/>
          <w:sz w:val="20"/>
          <w:szCs w:val="20"/>
        </w:rPr>
        <w:t>The application must include confirmation that approved GT-DES personnel remain with the company and provide their updated CV’s.</w:t>
      </w:r>
    </w:p>
    <w:p w14:paraId="7843C476" w14:textId="06530319" w:rsidR="003D0B4A"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 xml:space="preserve">Renewal </w:t>
      </w:r>
    </w:p>
    <w:p w14:paraId="479F46F7" w14:textId="77777777" w:rsidR="00205756" w:rsidRDefault="00205756" w:rsidP="00205756">
      <w:pPr>
        <w:pStyle w:val="ListParagraph"/>
        <w:numPr>
          <w:ilvl w:val="0"/>
          <w:numId w:val="4"/>
        </w:numPr>
        <w:rPr>
          <w:rFonts w:ascii="VIC" w:hAnsi="VIC"/>
          <w:sz w:val="20"/>
          <w:szCs w:val="20"/>
        </w:rPr>
      </w:pPr>
      <w:r w:rsidRPr="001E02AC">
        <w:rPr>
          <w:rFonts w:ascii="VIC" w:hAnsi="VIC"/>
          <w:sz w:val="20"/>
          <w:szCs w:val="20"/>
        </w:rPr>
        <w:t>Prequalification must be renewed every 5 years.</w:t>
      </w:r>
    </w:p>
    <w:p w14:paraId="44725E14" w14:textId="77777777" w:rsidR="00205756" w:rsidRPr="001E02AC" w:rsidRDefault="00205756" w:rsidP="00205756">
      <w:pPr>
        <w:pStyle w:val="ListParagraph"/>
        <w:numPr>
          <w:ilvl w:val="0"/>
          <w:numId w:val="4"/>
        </w:numPr>
        <w:rPr>
          <w:rFonts w:ascii="VIC" w:hAnsi="VIC"/>
          <w:sz w:val="20"/>
          <w:szCs w:val="20"/>
        </w:rPr>
      </w:pPr>
      <w:r w:rsidRPr="008627A5">
        <w:rPr>
          <w:rFonts w:ascii="VIC" w:hAnsi="VIC"/>
          <w:sz w:val="20"/>
          <w:szCs w:val="20"/>
        </w:rPr>
        <w:t>Companies are required to advise of any changes to the nominated employees employment</w:t>
      </w:r>
      <w:r>
        <w:rPr>
          <w:rFonts w:ascii="VIC" w:hAnsi="VIC"/>
          <w:sz w:val="20"/>
          <w:szCs w:val="20"/>
        </w:rPr>
        <w:t xml:space="preserve"> status. Where the prequalified employee/s is no longer with the company, the prequalification for the company will laps</w:t>
      </w:r>
    </w:p>
    <w:p w14:paraId="728FF1C4" w14:textId="77777777" w:rsidR="00205756" w:rsidRDefault="00205756" w:rsidP="00205756">
      <w:pPr>
        <w:pStyle w:val="ListParagraph"/>
        <w:numPr>
          <w:ilvl w:val="0"/>
          <w:numId w:val="4"/>
        </w:numPr>
        <w:rPr>
          <w:rFonts w:ascii="VIC" w:hAnsi="VIC"/>
          <w:sz w:val="20"/>
          <w:szCs w:val="20"/>
        </w:rPr>
      </w:pPr>
      <w:r w:rsidRPr="008627A5">
        <w:rPr>
          <w:rFonts w:ascii="VIC" w:hAnsi="VIC"/>
          <w:sz w:val="20"/>
          <w:szCs w:val="20"/>
        </w:rPr>
        <w:t xml:space="preserve">Unsuccessful applicants can re-apply after 12 months. </w:t>
      </w:r>
    </w:p>
    <w:p w14:paraId="30A9E3E5" w14:textId="2DD765B7" w:rsidR="00603B03" w:rsidRPr="00205756" w:rsidRDefault="00CC0185" w:rsidP="00205756">
      <w:pPr>
        <w:rPr>
          <w:rFonts w:ascii="VIC" w:eastAsiaTheme="majorEastAsia" w:hAnsi="VIC" w:cstheme="majorBidi"/>
          <w:color w:val="0F4761" w:themeColor="accent1" w:themeShade="BF"/>
          <w:sz w:val="32"/>
          <w:szCs w:val="32"/>
        </w:rPr>
      </w:pPr>
      <w:r w:rsidRPr="00205756">
        <w:rPr>
          <w:rFonts w:ascii="VIC" w:eastAsiaTheme="majorEastAsia" w:hAnsi="VIC" w:cstheme="majorBidi"/>
          <w:color w:val="0F4761" w:themeColor="accent1" w:themeShade="BF"/>
          <w:sz w:val="32"/>
          <w:szCs w:val="32"/>
        </w:rPr>
        <w:t>Minimum</w:t>
      </w:r>
      <w:r w:rsidR="003D0B4A" w:rsidRPr="00205756">
        <w:rPr>
          <w:rFonts w:ascii="VIC" w:eastAsiaTheme="majorEastAsia" w:hAnsi="VIC" w:cstheme="majorBidi"/>
          <w:color w:val="0F4761" w:themeColor="accent1" w:themeShade="BF"/>
          <w:sz w:val="32"/>
          <w:szCs w:val="32"/>
        </w:rPr>
        <w:t xml:space="preserve"> Requirements</w:t>
      </w:r>
      <w:r w:rsidR="003A3925" w:rsidRPr="00205756">
        <w:rPr>
          <w:rFonts w:ascii="VIC" w:eastAsiaTheme="majorEastAsia" w:hAnsi="VIC" w:cstheme="majorBidi"/>
          <w:color w:val="0F4761" w:themeColor="accent1" w:themeShade="BF"/>
          <w:sz w:val="32"/>
          <w:szCs w:val="32"/>
        </w:rPr>
        <w:tab/>
      </w:r>
    </w:p>
    <w:p w14:paraId="2619D50A" w14:textId="30258B55" w:rsidR="00FF3A6C" w:rsidRDefault="005C6B71" w:rsidP="006771CC">
      <w:pPr>
        <w:pStyle w:val="ListParagraph"/>
        <w:numPr>
          <w:ilvl w:val="0"/>
          <w:numId w:val="12"/>
        </w:numPr>
        <w:rPr>
          <w:rFonts w:ascii="VIC" w:hAnsi="VIC"/>
          <w:sz w:val="20"/>
          <w:szCs w:val="20"/>
        </w:rPr>
      </w:pPr>
      <w:bookmarkStart w:id="1" w:name="_Hlk201831237"/>
      <w:r>
        <w:rPr>
          <w:rFonts w:ascii="VIC" w:hAnsi="VIC"/>
          <w:sz w:val="20"/>
          <w:szCs w:val="20"/>
        </w:rPr>
        <w:t>Each a</w:t>
      </w:r>
      <w:r w:rsidR="00ED15B9">
        <w:rPr>
          <w:rFonts w:ascii="VIC" w:hAnsi="VIC"/>
          <w:sz w:val="20"/>
          <w:szCs w:val="20"/>
        </w:rPr>
        <w:t>pplicant</w:t>
      </w:r>
      <w:r w:rsidR="00012264">
        <w:rPr>
          <w:rFonts w:ascii="VIC" w:hAnsi="VIC"/>
          <w:sz w:val="20"/>
          <w:szCs w:val="20"/>
        </w:rPr>
        <w:t xml:space="preserve"> (individual employee)</w:t>
      </w:r>
      <w:r w:rsidR="005313F4">
        <w:rPr>
          <w:rFonts w:ascii="VIC" w:hAnsi="VIC"/>
          <w:sz w:val="20"/>
          <w:szCs w:val="20"/>
        </w:rPr>
        <w:t xml:space="preserve"> must complete a</w:t>
      </w:r>
      <w:r w:rsidR="00FF3A6C">
        <w:rPr>
          <w:rFonts w:ascii="VIC" w:hAnsi="VIC"/>
          <w:sz w:val="20"/>
          <w:szCs w:val="20"/>
        </w:rPr>
        <w:t xml:space="preserve"> separate Part B </w:t>
      </w:r>
      <w:r w:rsidR="00020657">
        <w:rPr>
          <w:rFonts w:ascii="VIC" w:hAnsi="VIC"/>
          <w:sz w:val="20"/>
          <w:szCs w:val="20"/>
        </w:rPr>
        <w:t>form and</w:t>
      </w:r>
      <w:r w:rsidR="00FF3A6C">
        <w:rPr>
          <w:rFonts w:ascii="VIC" w:hAnsi="VIC"/>
          <w:sz w:val="20"/>
          <w:szCs w:val="20"/>
        </w:rPr>
        <w:t xml:space="preserve"> </w:t>
      </w:r>
      <w:r w:rsidR="00012264">
        <w:rPr>
          <w:rFonts w:ascii="VIC" w:hAnsi="VIC"/>
          <w:sz w:val="20"/>
          <w:szCs w:val="20"/>
        </w:rPr>
        <w:t xml:space="preserve">provide </w:t>
      </w:r>
      <w:r w:rsidR="00FF3A6C">
        <w:rPr>
          <w:rFonts w:ascii="VIC" w:hAnsi="VIC"/>
          <w:sz w:val="20"/>
          <w:szCs w:val="20"/>
        </w:rPr>
        <w:t xml:space="preserve">a completed declaration and privacy release form. </w:t>
      </w:r>
    </w:p>
    <w:p w14:paraId="45A2334B" w14:textId="6712ADDD" w:rsidR="00984F81" w:rsidRPr="00F425C7" w:rsidRDefault="00ED15B9" w:rsidP="006771CC">
      <w:pPr>
        <w:pStyle w:val="ListParagraph"/>
        <w:numPr>
          <w:ilvl w:val="0"/>
          <w:numId w:val="12"/>
        </w:numPr>
        <w:rPr>
          <w:rFonts w:ascii="VIC" w:hAnsi="VIC"/>
          <w:sz w:val="20"/>
          <w:szCs w:val="20"/>
        </w:rPr>
      </w:pPr>
      <w:r>
        <w:rPr>
          <w:rFonts w:ascii="VIC" w:hAnsi="VIC"/>
          <w:sz w:val="20"/>
          <w:szCs w:val="20"/>
        </w:rPr>
        <w:t xml:space="preserve">Applicants </w:t>
      </w:r>
      <w:r w:rsidR="00984F81" w:rsidRPr="00F425C7">
        <w:rPr>
          <w:rFonts w:ascii="VIC" w:hAnsi="VIC"/>
          <w:sz w:val="20"/>
          <w:szCs w:val="20"/>
        </w:rPr>
        <w:t xml:space="preserve">must demonstrate 20 years of experience with primary responsibility for undertaking design and analysis. </w:t>
      </w:r>
    </w:p>
    <w:p w14:paraId="7237B28B" w14:textId="1B44226B" w:rsidR="00423AF0" w:rsidRPr="00205756" w:rsidRDefault="00984F81" w:rsidP="006771CC">
      <w:pPr>
        <w:pStyle w:val="ListParagraph"/>
        <w:numPr>
          <w:ilvl w:val="0"/>
          <w:numId w:val="12"/>
        </w:numPr>
        <w:rPr>
          <w:rFonts w:ascii="VIC" w:hAnsi="VIC"/>
          <w:sz w:val="20"/>
          <w:szCs w:val="20"/>
        </w:rPr>
      </w:pPr>
      <w:r w:rsidRPr="00205756">
        <w:rPr>
          <w:rFonts w:ascii="VIC" w:hAnsi="VIC"/>
          <w:sz w:val="20"/>
          <w:szCs w:val="20"/>
        </w:rPr>
        <w:t xml:space="preserve">The application should include a summary of at least </w:t>
      </w:r>
      <w:r w:rsidR="00486ACF" w:rsidRPr="00205756">
        <w:rPr>
          <w:rFonts w:ascii="VIC" w:hAnsi="VIC"/>
          <w:sz w:val="20"/>
          <w:szCs w:val="20"/>
        </w:rPr>
        <w:t>(</w:t>
      </w:r>
      <w:r w:rsidRPr="00205756">
        <w:rPr>
          <w:rFonts w:ascii="VIC" w:hAnsi="VIC"/>
          <w:sz w:val="20"/>
          <w:szCs w:val="20"/>
        </w:rPr>
        <w:t>10</w:t>
      </w:r>
      <w:r w:rsidR="00486ACF" w:rsidRPr="00205756">
        <w:rPr>
          <w:rFonts w:ascii="VIC" w:hAnsi="VIC"/>
          <w:sz w:val="20"/>
          <w:szCs w:val="20"/>
        </w:rPr>
        <w:t>)</w:t>
      </w:r>
      <w:r w:rsidRPr="00205756">
        <w:rPr>
          <w:rFonts w:ascii="VIC" w:hAnsi="VIC"/>
          <w:sz w:val="20"/>
          <w:szCs w:val="20"/>
        </w:rPr>
        <w:t xml:space="preserve"> </w:t>
      </w:r>
      <w:r w:rsidR="00792742" w:rsidRPr="00205756">
        <w:rPr>
          <w:rFonts w:ascii="VIC" w:hAnsi="VIC"/>
          <w:sz w:val="20"/>
          <w:szCs w:val="20"/>
        </w:rPr>
        <w:t>Transport Infrastructure</w:t>
      </w:r>
      <w:r w:rsidR="00867F22" w:rsidRPr="00205756">
        <w:rPr>
          <w:rFonts w:ascii="VIC" w:hAnsi="VIC"/>
          <w:sz w:val="20"/>
          <w:szCs w:val="20"/>
          <w:vertAlign w:val="superscript"/>
        </w:rPr>
        <w:t>1</w:t>
      </w:r>
      <w:r w:rsidR="00792742" w:rsidRPr="00205756">
        <w:rPr>
          <w:rFonts w:ascii="VIC" w:hAnsi="VIC"/>
          <w:sz w:val="20"/>
          <w:szCs w:val="20"/>
        </w:rPr>
        <w:t xml:space="preserve"> projects, preferably within Victoria, </w:t>
      </w:r>
      <w:r w:rsidRPr="00205756">
        <w:rPr>
          <w:rFonts w:ascii="VIC" w:hAnsi="VIC"/>
          <w:sz w:val="20"/>
          <w:szCs w:val="20"/>
        </w:rPr>
        <w:t>where design roles were performed by the nominated employee within the last 5 years.</w:t>
      </w:r>
      <w:r w:rsidR="00764177" w:rsidRPr="00205756">
        <w:rPr>
          <w:rFonts w:ascii="VIC" w:hAnsi="VIC"/>
          <w:sz w:val="20"/>
          <w:szCs w:val="20"/>
        </w:rPr>
        <w:t xml:space="preserve"> </w:t>
      </w:r>
      <w:r w:rsidR="001B5CF4" w:rsidRPr="00205756">
        <w:rPr>
          <w:rFonts w:ascii="VIC" w:hAnsi="VIC"/>
          <w:sz w:val="20"/>
          <w:szCs w:val="20"/>
        </w:rPr>
        <w:t xml:space="preserve">Sufficient projects must be listed to ensure that </w:t>
      </w:r>
      <w:r w:rsidR="00D60613" w:rsidRPr="00205756">
        <w:rPr>
          <w:rFonts w:ascii="VIC" w:hAnsi="VIC"/>
          <w:sz w:val="20"/>
          <w:szCs w:val="20"/>
        </w:rPr>
        <w:t xml:space="preserve">at least two examples for </w:t>
      </w:r>
      <w:r w:rsidR="001B5CF4" w:rsidRPr="00205756">
        <w:rPr>
          <w:rFonts w:ascii="VIC" w:hAnsi="VIC"/>
          <w:sz w:val="20"/>
          <w:szCs w:val="20"/>
        </w:rPr>
        <w:t xml:space="preserve">all the above competencies are demonstrated. </w:t>
      </w:r>
      <w:r w:rsidRPr="00205756">
        <w:rPr>
          <w:rFonts w:ascii="VIC" w:hAnsi="VIC"/>
          <w:sz w:val="20"/>
          <w:szCs w:val="20"/>
        </w:rPr>
        <w:t xml:space="preserve"> </w:t>
      </w:r>
    </w:p>
    <w:p w14:paraId="48B0ECB9" w14:textId="59152899" w:rsidR="00F57572" w:rsidRPr="00F374CE" w:rsidRDefault="006062EF" w:rsidP="00615770">
      <w:pPr>
        <w:pStyle w:val="ListParagraph"/>
        <w:numPr>
          <w:ilvl w:val="0"/>
          <w:numId w:val="12"/>
        </w:numPr>
        <w:rPr>
          <w:rFonts w:ascii="VIC" w:hAnsi="VIC"/>
          <w:sz w:val="20"/>
          <w:szCs w:val="20"/>
        </w:rPr>
      </w:pPr>
      <w:r w:rsidRPr="00F374CE">
        <w:rPr>
          <w:rFonts w:ascii="VIC" w:hAnsi="VIC"/>
          <w:sz w:val="20"/>
          <w:szCs w:val="20"/>
        </w:rPr>
        <w:t>The application should include a</w:t>
      </w:r>
      <w:r w:rsidR="00984F81" w:rsidRPr="00F374CE">
        <w:rPr>
          <w:rFonts w:ascii="VIC" w:hAnsi="VIC"/>
          <w:sz w:val="20"/>
          <w:szCs w:val="20"/>
        </w:rPr>
        <w:t>t least (1) one</w:t>
      </w:r>
      <w:r w:rsidR="004076EC" w:rsidRPr="00F374CE">
        <w:rPr>
          <w:rFonts w:ascii="VIC" w:hAnsi="VIC"/>
          <w:sz w:val="20"/>
          <w:szCs w:val="20"/>
        </w:rPr>
        <w:t xml:space="preserve"> </w:t>
      </w:r>
      <w:r w:rsidR="002A70B0" w:rsidRPr="00F374CE">
        <w:rPr>
          <w:rFonts w:ascii="VIC" w:hAnsi="VIC"/>
          <w:sz w:val="20"/>
          <w:szCs w:val="20"/>
        </w:rPr>
        <w:t>example</w:t>
      </w:r>
      <w:r w:rsidR="00984F81" w:rsidRPr="00F374CE">
        <w:rPr>
          <w:rFonts w:ascii="VIC" w:hAnsi="VIC"/>
          <w:sz w:val="20"/>
          <w:szCs w:val="20"/>
        </w:rPr>
        <w:t xml:space="preserve"> report </w:t>
      </w:r>
      <w:r w:rsidR="00414BAF">
        <w:rPr>
          <w:rFonts w:ascii="VIC" w:hAnsi="VIC"/>
          <w:sz w:val="20"/>
          <w:szCs w:val="20"/>
        </w:rPr>
        <w:t>demonstrating the below selected</w:t>
      </w:r>
      <w:r w:rsidR="00F57572" w:rsidRPr="00F374CE">
        <w:rPr>
          <w:rFonts w:ascii="VIC" w:hAnsi="VIC"/>
          <w:sz w:val="20"/>
          <w:szCs w:val="20"/>
        </w:rPr>
        <w:t xml:space="preserve"> </w:t>
      </w:r>
      <w:r w:rsidR="00582907" w:rsidRPr="00F374CE">
        <w:rPr>
          <w:rFonts w:ascii="VIC" w:hAnsi="VIC"/>
          <w:sz w:val="20"/>
          <w:szCs w:val="20"/>
        </w:rPr>
        <w:t xml:space="preserve">from </w:t>
      </w:r>
      <w:r w:rsidR="00414BAF" w:rsidRPr="008442CD">
        <w:rPr>
          <w:rFonts w:ascii="VIC" w:hAnsi="VIC"/>
          <w:sz w:val="20"/>
          <w:szCs w:val="20"/>
        </w:rPr>
        <w:t xml:space="preserve">the </w:t>
      </w:r>
      <w:r w:rsidR="00414BAF">
        <w:rPr>
          <w:rFonts w:ascii="VIC" w:hAnsi="VIC"/>
          <w:sz w:val="20"/>
          <w:szCs w:val="20"/>
        </w:rPr>
        <w:t xml:space="preserve">provided </w:t>
      </w:r>
      <w:r w:rsidR="00414BAF" w:rsidRPr="008442CD">
        <w:rPr>
          <w:rFonts w:ascii="VIC" w:hAnsi="VIC"/>
          <w:sz w:val="20"/>
          <w:szCs w:val="20"/>
        </w:rPr>
        <w:t>project</w:t>
      </w:r>
      <w:r w:rsidR="00414BAF">
        <w:rPr>
          <w:rFonts w:ascii="VIC" w:hAnsi="VIC"/>
          <w:sz w:val="20"/>
          <w:szCs w:val="20"/>
        </w:rPr>
        <w:t xml:space="preserve"> summaries</w:t>
      </w:r>
      <w:r w:rsidR="00F57572" w:rsidRPr="00F374CE">
        <w:rPr>
          <w:rFonts w:ascii="VIC" w:hAnsi="VIC"/>
          <w:sz w:val="20"/>
          <w:szCs w:val="20"/>
        </w:rPr>
        <w:t>:</w:t>
      </w:r>
      <w:r w:rsidR="004E4079" w:rsidRPr="00F374CE">
        <w:rPr>
          <w:rFonts w:ascii="VIC" w:hAnsi="VIC"/>
          <w:sz w:val="20"/>
          <w:szCs w:val="20"/>
        </w:rPr>
        <w:t xml:space="preserve"> </w:t>
      </w:r>
    </w:p>
    <w:p w14:paraId="2AFC7FC9" w14:textId="0FCBBFAC" w:rsidR="00F57572" w:rsidRDefault="00414BAF" w:rsidP="000002D9">
      <w:pPr>
        <w:pStyle w:val="ListParagraph"/>
        <w:numPr>
          <w:ilvl w:val="0"/>
          <w:numId w:val="13"/>
        </w:numPr>
        <w:rPr>
          <w:rFonts w:ascii="VIC" w:hAnsi="VIC"/>
          <w:sz w:val="20"/>
          <w:szCs w:val="20"/>
        </w:rPr>
      </w:pPr>
      <w:r>
        <w:rPr>
          <w:rFonts w:ascii="VIC" w:hAnsi="VIC"/>
          <w:sz w:val="20"/>
          <w:szCs w:val="20"/>
        </w:rPr>
        <w:t>A design which included a</w:t>
      </w:r>
      <w:r w:rsidR="004B25E3" w:rsidRPr="64DED651">
        <w:rPr>
          <w:rFonts w:ascii="VIC" w:hAnsi="VIC"/>
          <w:sz w:val="20"/>
          <w:szCs w:val="20"/>
        </w:rPr>
        <w:t xml:space="preserve"> </w:t>
      </w:r>
      <w:r w:rsidR="00984F81" w:rsidRPr="64DED651">
        <w:rPr>
          <w:rFonts w:ascii="VIC" w:hAnsi="VIC"/>
          <w:sz w:val="20"/>
          <w:szCs w:val="20"/>
        </w:rPr>
        <w:t>complex geotechnical issue</w:t>
      </w:r>
      <w:r w:rsidR="004B25E3" w:rsidRPr="64DED651">
        <w:rPr>
          <w:rFonts w:ascii="VIC" w:hAnsi="VIC"/>
          <w:sz w:val="20"/>
          <w:szCs w:val="20"/>
          <w:vertAlign w:val="superscript"/>
        </w:rPr>
        <w:t>3</w:t>
      </w:r>
      <w:r w:rsidR="00984F81" w:rsidRPr="64DED651">
        <w:rPr>
          <w:rFonts w:ascii="VIC" w:hAnsi="VIC"/>
          <w:sz w:val="20"/>
          <w:szCs w:val="20"/>
        </w:rPr>
        <w:t xml:space="preserve"> and the development of geotechnical models for design and analysis related to complex road projects</w:t>
      </w:r>
      <w:r w:rsidR="004B25E3" w:rsidRPr="64DED651">
        <w:rPr>
          <w:rFonts w:ascii="VIC" w:hAnsi="VIC"/>
          <w:sz w:val="20"/>
          <w:szCs w:val="20"/>
          <w:vertAlign w:val="superscript"/>
        </w:rPr>
        <w:t>4</w:t>
      </w:r>
      <w:r w:rsidR="004B25E3" w:rsidRPr="64DED651">
        <w:rPr>
          <w:rFonts w:ascii="VIC" w:hAnsi="VIC"/>
          <w:sz w:val="20"/>
          <w:szCs w:val="20"/>
        </w:rPr>
        <w:t xml:space="preserve">, </w:t>
      </w:r>
      <w:r w:rsidR="00984F81" w:rsidRPr="64DED651">
        <w:rPr>
          <w:rFonts w:ascii="VIC" w:hAnsi="VIC"/>
          <w:sz w:val="20"/>
          <w:szCs w:val="20"/>
        </w:rPr>
        <w:t>undertaken within the last 5 years.</w:t>
      </w:r>
      <w:r w:rsidR="00A8355B" w:rsidRPr="64DED651">
        <w:rPr>
          <w:rFonts w:ascii="VIC" w:hAnsi="VIC"/>
          <w:sz w:val="20"/>
          <w:szCs w:val="20"/>
        </w:rPr>
        <w:t xml:space="preserve"> </w:t>
      </w:r>
    </w:p>
    <w:p w14:paraId="55E312D4" w14:textId="4C5E22B8" w:rsidR="00403877" w:rsidRPr="00F425C7" w:rsidRDefault="00414BAF" w:rsidP="00F57572">
      <w:pPr>
        <w:pStyle w:val="ListParagraph"/>
        <w:numPr>
          <w:ilvl w:val="0"/>
          <w:numId w:val="13"/>
        </w:numPr>
        <w:rPr>
          <w:rFonts w:ascii="VIC" w:hAnsi="VIC"/>
          <w:sz w:val="20"/>
          <w:szCs w:val="20"/>
        </w:rPr>
      </w:pPr>
      <w:r>
        <w:rPr>
          <w:rFonts w:ascii="VIC" w:hAnsi="VIC"/>
          <w:sz w:val="20"/>
          <w:szCs w:val="20"/>
        </w:rPr>
        <w:t xml:space="preserve">A </w:t>
      </w:r>
      <w:r w:rsidRPr="64DED651">
        <w:rPr>
          <w:rFonts w:ascii="VIC" w:hAnsi="VIC"/>
          <w:sz w:val="20"/>
          <w:szCs w:val="20"/>
        </w:rPr>
        <w:t>design</w:t>
      </w:r>
      <w:r>
        <w:rPr>
          <w:rFonts w:ascii="VIC" w:hAnsi="VIC"/>
          <w:sz w:val="20"/>
          <w:szCs w:val="20"/>
        </w:rPr>
        <w:t xml:space="preserve"> requiring</w:t>
      </w:r>
      <w:r w:rsidR="00403877" w:rsidRPr="64DED651">
        <w:rPr>
          <w:rFonts w:ascii="VIC" w:hAnsi="VIC"/>
          <w:sz w:val="20"/>
          <w:szCs w:val="20"/>
        </w:rPr>
        <w:t xml:space="preserve"> finite element modelling analysis and interpretation. This example must include the </w:t>
      </w:r>
      <w:r>
        <w:rPr>
          <w:rFonts w:ascii="VIC" w:hAnsi="VIC"/>
          <w:sz w:val="20"/>
          <w:szCs w:val="20"/>
        </w:rPr>
        <w:t xml:space="preserve">external </w:t>
      </w:r>
      <w:r w:rsidR="00403877" w:rsidRPr="64DED651">
        <w:rPr>
          <w:rFonts w:ascii="VIC" w:hAnsi="VIC"/>
          <w:sz w:val="20"/>
          <w:szCs w:val="20"/>
        </w:rPr>
        <w:t>proof engineer comments register from the proof engineer engaged by the project.</w:t>
      </w:r>
      <w:r w:rsidR="00A8355B" w:rsidRPr="64DED651">
        <w:rPr>
          <w:rFonts w:ascii="VIC" w:hAnsi="VIC"/>
          <w:sz w:val="20"/>
          <w:szCs w:val="20"/>
        </w:rPr>
        <w:t xml:space="preserve"> </w:t>
      </w:r>
    </w:p>
    <w:bookmarkEnd w:id="1"/>
    <w:p w14:paraId="2C66E745" w14:textId="6EDE9980" w:rsidR="00F57572" w:rsidRDefault="00F57572" w:rsidP="008E3CA7">
      <w:pPr>
        <w:ind w:left="1080"/>
        <w:rPr>
          <w:rFonts w:ascii="VIC" w:hAnsi="VIC"/>
          <w:sz w:val="20"/>
          <w:szCs w:val="20"/>
        </w:rPr>
      </w:pPr>
      <w:r w:rsidRPr="64DED651">
        <w:rPr>
          <w:rFonts w:ascii="VIC" w:hAnsi="VIC"/>
          <w:sz w:val="20"/>
          <w:szCs w:val="20"/>
        </w:rPr>
        <w:t xml:space="preserve">For </w:t>
      </w:r>
      <w:r w:rsidR="00414BAF">
        <w:rPr>
          <w:rFonts w:ascii="VIC" w:hAnsi="VIC"/>
          <w:sz w:val="20"/>
          <w:szCs w:val="20"/>
        </w:rPr>
        <w:t xml:space="preserve">provided example design reports </w:t>
      </w:r>
      <w:r w:rsidRPr="64DED651">
        <w:rPr>
          <w:rFonts w:ascii="VIC" w:hAnsi="VIC"/>
          <w:sz w:val="20"/>
          <w:szCs w:val="20"/>
        </w:rPr>
        <w:t>the supporting Proof Engineer stamped IFC drawings (or equivalent for interstate) must be provided.</w:t>
      </w:r>
    </w:p>
    <w:p w14:paraId="18FA7826" w14:textId="77777777" w:rsidR="00205756" w:rsidRDefault="00205756" w:rsidP="008E3CA7">
      <w:pPr>
        <w:ind w:left="1080"/>
        <w:rPr>
          <w:rFonts w:ascii="VIC" w:hAnsi="VIC"/>
          <w:sz w:val="20"/>
          <w:szCs w:val="20"/>
        </w:rPr>
      </w:pPr>
    </w:p>
    <w:p w14:paraId="3E827C9C" w14:textId="77777777" w:rsidR="00205756" w:rsidRDefault="00205756" w:rsidP="008E3CA7">
      <w:pPr>
        <w:ind w:left="1080"/>
        <w:rPr>
          <w:rFonts w:ascii="VIC" w:hAnsi="VIC"/>
          <w:sz w:val="20"/>
          <w:szCs w:val="20"/>
        </w:rPr>
      </w:pPr>
    </w:p>
    <w:p w14:paraId="437ADD11" w14:textId="77777777" w:rsidR="00205756" w:rsidRDefault="00205756" w:rsidP="008E3CA7">
      <w:pPr>
        <w:ind w:left="1080"/>
        <w:rPr>
          <w:rFonts w:ascii="VIC" w:hAnsi="VIC"/>
          <w:sz w:val="20"/>
          <w:szCs w:val="20"/>
        </w:rPr>
      </w:pPr>
    </w:p>
    <w:p w14:paraId="4CE59890" w14:textId="77777777" w:rsidR="00205756" w:rsidRDefault="00205756" w:rsidP="008E3CA7">
      <w:pPr>
        <w:ind w:left="1080"/>
        <w:rPr>
          <w:rFonts w:ascii="VIC" w:hAnsi="VIC"/>
          <w:sz w:val="20"/>
          <w:szCs w:val="20"/>
        </w:rPr>
      </w:pPr>
    </w:p>
    <w:p w14:paraId="5E843F65" w14:textId="77777777" w:rsidR="00205756" w:rsidRPr="008E3CA7" w:rsidRDefault="00205756" w:rsidP="008E3CA7">
      <w:pPr>
        <w:ind w:left="1080"/>
        <w:rPr>
          <w:rFonts w:ascii="VIC" w:hAnsi="VIC"/>
          <w:sz w:val="20"/>
          <w:szCs w:val="20"/>
        </w:rPr>
      </w:pPr>
    </w:p>
    <w:p w14:paraId="6C2B2A08" w14:textId="1DBF9635" w:rsidR="00F425C7" w:rsidRPr="00AA1624" w:rsidRDefault="00D63572" w:rsidP="00147A2D">
      <w:pPr>
        <w:pStyle w:val="ListParagraph"/>
        <w:numPr>
          <w:ilvl w:val="0"/>
          <w:numId w:val="12"/>
        </w:numPr>
        <w:rPr>
          <w:rFonts w:ascii="VIC" w:hAnsi="VIC"/>
          <w:sz w:val="20"/>
          <w:szCs w:val="20"/>
        </w:rPr>
      </w:pPr>
      <w:r w:rsidRPr="64DED651">
        <w:rPr>
          <w:rFonts w:ascii="VIC" w:hAnsi="VIC"/>
          <w:sz w:val="20"/>
          <w:szCs w:val="20"/>
        </w:rPr>
        <w:t>The application should include a</w:t>
      </w:r>
      <w:r w:rsidR="00423AF0" w:rsidRPr="64DED651">
        <w:rPr>
          <w:rFonts w:ascii="VIC" w:hAnsi="VIC"/>
          <w:sz w:val="20"/>
          <w:szCs w:val="20"/>
        </w:rPr>
        <w:t>t</w:t>
      </w:r>
      <w:r w:rsidR="00403877" w:rsidRPr="64DED651">
        <w:rPr>
          <w:rFonts w:ascii="VIC" w:hAnsi="VIC"/>
          <w:sz w:val="20"/>
          <w:szCs w:val="20"/>
        </w:rPr>
        <w:t xml:space="preserve"> least</w:t>
      </w:r>
      <w:r w:rsidR="00423AF0" w:rsidRPr="64DED651">
        <w:rPr>
          <w:rFonts w:ascii="VIC" w:hAnsi="VIC"/>
          <w:sz w:val="20"/>
          <w:szCs w:val="20"/>
        </w:rPr>
        <w:t xml:space="preserve"> (</w:t>
      </w:r>
      <w:r w:rsidR="007E2B9D" w:rsidRPr="64DED651">
        <w:rPr>
          <w:rFonts w:ascii="VIC" w:hAnsi="VIC"/>
          <w:sz w:val="20"/>
          <w:szCs w:val="20"/>
        </w:rPr>
        <w:t>2</w:t>
      </w:r>
      <w:r w:rsidR="00423AF0" w:rsidRPr="64DED651">
        <w:rPr>
          <w:rFonts w:ascii="VIC" w:hAnsi="VIC"/>
          <w:sz w:val="20"/>
          <w:szCs w:val="20"/>
        </w:rPr>
        <w:t>)</w:t>
      </w:r>
      <w:r w:rsidR="00403877" w:rsidRPr="64DED651">
        <w:rPr>
          <w:rFonts w:ascii="VIC" w:hAnsi="VIC"/>
          <w:sz w:val="20"/>
          <w:szCs w:val="20"/>
        </w:rPr>
        <w:t xml:space="preserve"> project</w:t>
      </w:r>
      <w:r w:rsidR="00DB1582" w:rsidRPr="64DED651">
        <w:rPr>
          <w:rFonts w:ascii="VIC" w:hAnsi="VIC"/>
          <w:sz w:val="20"/>
          <w:szCs w:val="20"/>
        </w:rPr>
        <w:t>s</w:t>
      </w:r>
      <w:r w:rsidR="00403877" w:rsidRPr="64DED651">
        <w:rPr>
          <w:rFonts w:ascii="VIC" w:hAnsi="VIC"/>
          <w:sz w:val="20"/>
          <w:szCs w:val="20"/>
        </w:rPr>
        <w:t xml:space="preserve"> where the nominated employee has </w:t>
      </w:r>
      <w:r w:rsidR="00A81200">
        <w:rPr>
          <w:rFonts w:ascii="VIC" w:hAnsi="VIC"/>
          <w:sz w:val="20"/>
          <w:szCs w:val="20"/>
        </w:rPr>
        <w:t>performed</w:t>
      </w:r>
      <w:r w:rsidR="004C2BFF" w:rsidRPr="64DED651">
        <w:rPr>
          <w:rFonts w:ascii="VIC" w:hAnsi="VIC"/>
          <w:sz w:val="20"/>
          <w:szCs w:val="20"/>
        </w:rPr>
        <w:t xml:space="preserve"> the</w:t>
      </w:r>
      <w:r w:rsidR="00CA5BB9" w:rsidRPr="64DED651">
        <w:rPr>
          <w:rFonts w:ascii="VIC" w:hAnsi="VIC"/>
          <w:sz w:val="20"/>
          <w:szCs w:val="20"/>
        </w:rPr>
        <w:t xml:space="preserve"> lead </w:t>
      </w:r>
      <w:r w:rsidR="00403877" w:rsidRPr="64DED651">
        <w:rPr>
          <w:rFonts w:ascii="VIC" w:hAnsi="VIC"/>
          <w:sz w:val="20"/>
          <w:szCs w:val="20"/>
        </w:rPr>
        <w:t xml:space="preserve">proof engineering </w:t>
      </w:r>
      <w:r w:rsidR="00431ABD">
        <w:rPr>
          <w:rFonts w:ascii="VIC" w:hAnsi="VIC"/>
          <w:sz w:val="20"/>
          <w:szCs w:val="20"/>
        </w:rPr>
        <w:t xml:space="preserve">role </w:t>
      </w:r>
      <w:r w:rsidR="00403877" w:rsidRPr="64DED651">
        <w:rPr>
          <w:rFonts w:ascii="VIC" w:hAnsi="VIC"/>
          <w:sz w:val="20"/>
          <w:szCs w:val="20"/>
        </w:rPr>
        <w:t xml:space="preserve">(or equivalent) within the last 5 years. A copy of the complete (closed) project </w:t>
      </w:r>
      <w:r w:rsidR="007941F6" w:rsidRPr="64DED651">
        <w:rPr>
          <w:rFonts w:ascii="VIC" w:hAnsi="VIC"/>
          <w:sz w:val="20"/>
          <w:szCs w:val="20"/>
        </w:rPr>
        <w:t>comment register</w:t>
      </w:r>
      <w:r w:rsidR="00403877" w:rsidRPr="64DED651">
        <w:rPr>
          <w:rFonts w:ascii="VIC" w:hAnsi="VIC"/>
          <w:sz w:val="20"/>
          <w:szCs w:val="20"/>
        </w:rPr>
        <w:t xml:space="preserve"> must be included.</w:t>
      </w:r>
      <w:r w:rsidR="091A755B" w:rsidRPr="64DED651">
        <w:rPr>
          <w:rFonts w:ascii="VIC" w:hAnsi="VIC"/>
          <w:sz w:val="20"/>
          <w:szCs w:val="20"/>
        </w:rPr>
        <w:t xml:space="preserve"> The registers supplied must include examples of comments raised based on the proof engineers</w:t>
      </w:r>
      <w:r w:rsidR="00431ABD">
        <w:rPr>
          <w:rFonts w:ascii="VIC" w:hAnsi="VIC"/>
          <w:sz w:val="20"/>
          <w:szCs w:val="20"/>
        </w:rPr>
        <w:t>’</w:t>
      </w:r>
      <w:r w:rsidR="091A755B" w:rsidRPr="64DED651">
        <w:rPr>
          <w:rFonts w:ascii="VIC" w:hAnsi="VIC"/>
          <w:sz w:val="20"/>
          <w:szCs w:val="20"/>
        </w:rPr>
        <w:t xml:space="preserve"> independent analysis.</w:t>
      </w:r>
    </w:p>
    <w:p w14:paraId="017E61CB" w14:textId="040DD06E" w:rsidR="00984F81" w:rsidRPr="001066FF" w:rsidRDefault="00205756" w:rsidP="00AF7DFB">
      <w:pPr>
        <w:rPr>
          <w:rFonts w:ascii="VIC" w:hAnsi="VIC"/>
          <w:sz w:val="20"/>
          <w:szCs w:val="20"/>
        </w:rPr>
      </w:pPr>
      <w:r>
        <w:rPr>
          <w:rFonts w:ascii="VIC" w:hAnsi="VIC"/>
          <w:sz w:val="20"/>
          <w:szCs w:val="20"/>
        </w:rPr>
        <w:t xml:space="preserve">*** </w:t>
      </w:r>
      <w:r w:rsidR="00984F81" w:rsidRPr="001066FF">
        <w:rPr>
          <w:rFonts w:ascii="VIC" w:hAnsi="VIC"/>
          <w:sz w:val="20"/>
          <w:szCs w:val="20"/>
        </w:rPr>
        <w:t xml:space="preserve">The application process for this category is multi-stage and will include an interview to assess experience, understanding and approach. </w:t>
      </w:r>
    </w:p>
    <w:p w14:paraId="08A68E01" w14:textId="49485FE4" w:rsidR="009B164C" w:rsidRPr="0038677B" w:rsidRDefault="009B164C" w:rsidP="009B164C">
      <w:pPr>
        <w:rPr>
          <w:rFonts w:ascii="VIC" w:eastAsiaTheme="majorEastAsia" w:hAnsi="VIC" w:cstheme="majorBidi"/>
          <w:color w:val="0F4761" w:themeColor="accent1" w:themeShade="BF"/>
          <w:sz w:val="32"/>
          <w:szCs w:val="32"/>
        </w:rPr>
      </w:pPr>
      <w:r w:rsidRPr="0038677B">
        <w:rPr>
          <w:rFonts w:ascii="VIC" w:eastAsiaTheme="majorEastAsia" w:hAnsi="VIC" w:cstheme="majorBidi"/>
          <w:color w:val="0F4761" w:themeColor="accent1" w:themeShade="BF"/>
          <w:sz w:val="32"/>
          <w:szCs w:val="32"/>
        </w:rPr>
        <w:t>Definitions</w:t>
      </w:r>
    </w:p>
    <w:p w14:paraId="4B0B09F5" w14:textId="7AD69AE8" w:rsidR="00BE5375" w:rsidRDefault="00BE5375" w:rsidP="00BE5375">
      <w:pPr>
        <w:pStyle w:val="ListParagraph"/>
        <w:numPr>
          <w:ilvl w:val="0"/>
          <w:numId w:val="8"/>
        </w:numPr>
        <w:rPr>
          <w:rFonts w:ascii="VIC" w:hAnsi="VIC"/>
          <w:sz w:val="20"/>
          <w:szCs w:val="20"/>
        </w:rPr>
      </w:pPr>
      <w:r w:rsidRPr="002478C6">
        <w:rPr>
          <w:rFonts w:ascii="VIC" w:hAnsi="VIC"/>
          <w:bCs/>
          <w:sz w:val="20"/>
          <w:szCs w:val="20"/>
        </w:rPr>
        <w:t>Transport Infrastructure</w:t>
      </w:r>
      <w:r w:rsidRPr="002478C6">
        <w:rPr>
          <w:rFonts w:ascii="VIC" w:hAnsi="VIC"/>
          <w:sz w:val="20"/>
          <w:szCs w:val="20"/>
        </w:rPr>
        <w:t xml:space="preserve"> refers to projects typically involving the upgrade or construction of new roads, infrastructure foundations and rail assets. Carparks and council or industrial estate roads are not considered suitable example projects. Preference should be given to presenting available road projects.</w:t>
      </w:r>
    </w:p>
    <w:p w14:paraId="78A26B44" w14:textId="77777777" w:rsidR="009B164C" w:rsidRPr="002478C6" w:rsidRDefault="009B164C" w:rsidP="009B164C">
      <w:pPr>
        <w:pStyle w:val="ListParagraph"/>
        <w:numPr>
          <w:ilvl w:val="0"/>
          <w:numId w:val="8"/>
        </w:numPr>
        <w:rPr>
          <w:rFonts w:ascii="VIC" w:hAnsi="VIC"/>
          <w:sz w:val="20"/>
          <w:szCs w:val="20"/>
        </w:rPr>
      </w:pPr>
      <w:r w:rsidRPr="002478C6">
        <w:rPr>
          <w:rFonts w:ascii="VIC" w:hAnsi="VIC"/>
          <w:sz w:val="20"/>
          <w:szCs w:val="20"/>
        </w:rPr>
        <w:t>Complex geology refers to geological features that are made up of two or more geological units. It can also refer to the difficulty of exploring areas with complex geology, which can make the acquisition, processing, and interpretation of geophysical data more challenging.</w:t>
      </w:r>
      <w:r w:rsidRPr="002478C6">
        <w:rPr>
          <w:rFonts w:ascii="Cambria" w:hAnsi="Cambria" w:cs="Cambria"/>
          <w:sz w:val="20"/>
          <w:szCs w:val="20"/>
        </w:rPr>
        <w:t> </w:t>
      </w:r>
    </w:p>
    <w:p w14:paraId="664ED857" w14:textId="64F05C24" w:rsidR="009B164C" w:rsidRPr="009B164C" w:rsidRDefault="009B164C" w:rsidP="009B164C">
      <w:pPr>
        <w:pStyle w:val="ListParagraph"/>
        <w:numPr>
          <w:ilvl w:val="0"/>
          <w:numId w:val="8"/>
        </w:numPr>
        <w:rPr>
          <w:rFonts w:ascii="VIC" w:hAnsi="VIC"/>
          <w:bCs/>
          <w:sz w:val="20"/>
          <w:szCs w:val="20"/>
        </w:rPr>
      </w:pPr>
      <w:r w:rsidRPr="009B164C">
        <w:rPr>
          <w:rFonts w:ascii="VIC" w:hAnsi="VIC"/>
          <w:bCs/>
          <w:sz w:val="20"/>
          <w:szCs w:val="20"/>
        </w:rPr>
        <w:t>Complex geotechnical issues include:</w:t>
      </w:r>
    </w:p>
    <w:p w14:paraId="79CE5C7E" w14:textId="1601B55D" w:rsidR="009B164C" w:rsidRPr="009B164C" w:rsidRDefault="009B164C" w:rsidP="009B164C">
      <w:pPr>
        <w:pStyle w:val="ListParagraph"/>
        <w:numPr>
          <w:ilvl w:val="1"/>
          <w:numId w:val="8"/>
        </w:numPr>
        <w:rPr>
          <w:rFonts w:ascii="VIC" w:hAnsi="VIC"/>
          <w:bCs/>
          <w:sz w:val="20"/>
          <w:szCs w:val="20"/>
        </w:rPr>
      </w:pPr>
      <w:r w:rsidRPr="009B164C">
        <w:rPr>
          <w:rFonts w:ascii="VIC" w:hAnsi="VIC"/>
          <w:bCs/>
          <w:sz w:val="20"/>
          <w:szCs w:val="20"/>
        </w:rPr>
        <w:t xml:space="preserve">Prediction of long-term ground movements based on monitoring results, such as embankment settlement associated with the consolidation of subsurface materials, and ground settlement related to the draw-down of the regional groundwater table. </w:t>
      </w:r>
    </w:p>
    <w:p w14:paraId="7CBF3446" w14:textId="77777777" w:rsidR="009B164C" w:rsidRPr="009B164C" w:rsidRDefault="009B164C" w:rsidP="009B164C">
      <w:pPr>
        <w:pStyle w:val="ListParagraph"/>
        <w:numPr>
          <w:ilvl w:val="1"/>
          <w:numId w:val="8"/>
        </w:numPr>
        <w:rPr>
          <w:rFonts w:ascii="VIC" w:hAnsi="VIC"/>
          <w:bCs/>
          <w:sz w:val="20"/>
          <w:szCs w:val="20"/>
        </w:rPr>
      </w:pPr>
      <w:r w:rsidRPr="009B164C">
        <w:rPr>
          <w:rFonts w:ascii="VIC" w:hAnsi="VIC"/>
          <w:bCs/>
          <w:sz w:val="20"/>
          <w:szCs w:val="20"/>
        </w:rPr>
        <w:t xml:space="preserve">Assessment of differential structure foundation settlements where changes in geology exist between foundations. </w:t>
      </w:r>
    </w:p>
    <w:p w14:paraId="4E454DDA" w14:textId="77777777" w:rsidR="009B164C" w:rsidRPr="009B164C" w:rsidRDefault="009B164C" w:rsidP="009B164C">
      <w:pPr>
        <w:pStyle w:val="ListParagraph"/>
        <w:numPr>
          <w:ilvl w:val="1"/>
          <w:numId w:val="8"/>
        </w:numPr>
        <w:rPr>
          <w:rFonts w:ascii="VIC" w:hAnsi="VIC"/>
          <w:bCs/>
          <w:sz w:val="20"/>
          <w:szCs w:val="20"/>
        </w:rPr>
      </w:pPr>
      <w:r w:rsidRPr="009B164C">
        <w:rPr>
          <w:rFonts w:ascii="VIC" w:hAnsi="VIC"/>
          <w:bCs/>
          <w:sz w:val="20"/>
          <w:szCs w:val="20"/>
        </w:rPr>
        <w:t>Structure foundation settlement associated with the draw-down of the regional groundwater table after the completion of a structure.</w:t>
      </w:r>
    </w:p>
    <w:p w14:paraId="53C877BD" w14:textId="77777777" w:rsidR="009B164C" w:rsidRPr="009B164C" w:rsidRDefault="009B164C" w:rsidP="009B164C">
      <w:pPr>
        <w:pStyle w:val="ListParagraph"/>
        <w:numPr>
          <w:ilvl w:val="1"/>
          <w:numId w:val="8"/>
        </w:numPr>
        <w:rPr>
          <w:rFonts w:ascii="VIC" w:hAnsi="VIC"/>
          <w:bCs/>
          <w:sz w:val="20"/>
          <w:szCs w:val="20"/>
        </w:rPr>
      </w:pPr>
      <w:r w:rsidRPr="009B164C">
        <w:rPr>
          <w:rFonts w:ascii="VIC" w:hAnsi="VIC"/>
          <w:bCs/>
          <w:sz w:val="20"/>
          <w:szCs w:val="20"/>
        </w:rPr>
        <w:t>Prediction of regional ground strains due to staged deep excavation, such as mining or lowering the existing grade-line of either existing roads or rail tracks.</w:t>
      </w:r>
    </w:p>
    <w:p w14:paraId="4CA67BCE" w14:textId="2181F8FC" w:rsidR="009B164C" w:rsidRPr="009B164C" w:rsidRDefault="009B164C" w:rsidP="009B164C">
      <w:pPr>
        <w:pStyle w:val="ListParagraph"/>
        <w:numPr>
          <w:ilvl w:val="1"/>
          <w:numId w:val="8"/>
        </w:numPr>
        <w:rPr>
          <w:rFonts w:ascii="VIC" w:hAnsi="VIC"/>
          <w:bCs/>
          <w:sz w:val="20"/>
          <w:szCs w:val="20"/>
        </w:rPr>
      </w:pPr>
      <w:r w:rsidRPr="009B164C">
        <w:rPr>
          <w:rFonts w:ascii="VIC" w:hAnsi="VIC"/>
          <w:bCs/>
          <w:sz w:val="20"/>
          <w:szCs w:val="20"/>
        </w:rPr>
        <w:t>Risks associated with the supporting structure due to modifications of existing geotechnical conditions, such as the removal of spill thorough abutment fills for road widening</w:t>
      </w:r>
      <w:r w:rsidR="00967D49">
        <w:rPr>
          <w:rFonts w:ascii="VIC" w:hAnsi="VIC"/>
          <w:bCs/>
          <w:sz w:val="20"/>
          <w:szCs w:val="20"/>
        </w:rPr>
        <w:t>.</w:t>
      </w:r>
    </w:p>
    <w:p w14:paraId="4F86FD0C" w14:textId="63F28E70" w:rsidR="009B164C" w:rsidRDefault="009B164C" w:rsidP="009B164C">
      <w:pPr>
        <w:pStyle w:val="ListParagraph"/>
        <w:numPr>
          <w:ilvl w:val="0"/>
          <w:numId w:val="8"/>
        </w:numPr>
        <w:rPr>
          <w:rFonts w:ascii="VIC" w:hAnsi="VIC"/>
        </w:rPr>
      </w:pPr>
      <w:r w:rsidRPr="009B164C">
        <w:rPr>
          <w:rFonts w:ascii="VIC" w:hAnsi="VIC"/>
          <w:bCs/>
          <w:sz w:val="20"/>
          <w:szCs w:val="20"/>
        </w:rPr>
        <w:t>Complex road projects refer to those where the horizontal and vertical alignment of the road has significant consequences for the existing environment and the local and national economy</w:t>
      </w:r>
      <w:r w:rsidRPr="00F425C7">
        <w:rPr>
          <w:rFonts w:ascii="VIC" w:hAnsi="VIC"/>
          <w:i/>
          <w:sz w:val="18"/>
          <w:szCs w:val="18"/>
        </w:rPr>
        <w:t>.</w:t>
      </w:r>
    </w:p>
    <w:p w14:paraId="0571E860" w14:textId="1019F98B" w:rsidR="00CC0185" w:rsidRPr="00216DEB" w:rsidRDefault="00CC0185" w:rsidP="00CC0185">
      <w:pPr>
        <w:pStyle w:val="Heading2"/>
        <w:rPr>
          <w:rFonts w:ascii="VIC" w:hAnsi="VIC"/>
        </w:rPr>
      </w:pPr>
      <w:r w:rsidRPr="00216DEB">
        <w:rPr>
          <w:rFonts w:ascii="VIC" w:hAnsi="VIC"/>
        </w:rPr>
        <w:t>Spreadsheet</w:t>
      </w:r>
    </w:p>
    <w:p w14:paraId="7DEC6936" w14:textId="77777777" w:rsidR="00CC0185" w:rsidRPr="00F425C7" w:rsidRDefault="00CC0185" w:rsidP="00CC0185">
      <w:pPr>
        <w:rPr>
          <w:rFonts w:ascii="VIC" w:hAnsi="VIC"/>
          <w:sz w:val="20"/>
          <w:szCs w:val="20"/>
        </w:rPr>
      </w:pPr>
      <w:r w:rsidRPr="00F425C7">
        <w:rPr>
          <w:rFonts w:ascii="VIC" w:hAnsi="VIC"/>
          <w:sz w:val="20"/>
          <w:szCs w:val="20"/>
        </w:rPr>
        <w:t xml:space="preserve">Please complete the Part B Spreadsheet linked below. </w:t>
      </w:r>
    </w:p>
    <w:p w14:paraId="462C4626" w14:textId="541E7BFB" w:rsidR="00CC0185" w:rsidRPr="00F425C7" w:rsidRDefault="00205756" w:rsidP="00CC0185">
      <w:pPr>
        <w:rPr>
          <w:rFonts w:ascii="VIC" w:eastAsia="Times New Roman" w:hAnsi="VIC" w:cs="Calibri"/>
          <w:sz w:val="20"/>
          <w:szCs w:val="20"/>
          <w:lang w:eastAsia="en-AU"/>
        </w:rPr>
      </w:pPr>
      <w:r>
        <w:rPr>
          <w:rFonts w:ascii="VIC" w:eastAsia="Times New Roman" w:hAnsi="VIC" w:cs="Calibri"/>
          <w:sz w:val="20"/>
          <w:szCs w:val="20"/>
          <w:lang w:eastAsia="en-AU"/>
        </w:rPr>
        <w:object w:dxaOrig="1517" w:dyaOrig="985" w14:anchorId="62CFC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pt;height:49.2pt" o:ole="">
            <v:imagedata r:id="rId14" o:title=""/>
          </v:shape>
          <o:OLEObject Type="Embed" ProgID="Excel.Sheet.12" ShapeID="_x0000_i1027" DrawAspect="Icon" ObjectID="_1821353401" r:id="rId15"/>
        </w:object>
      </w:r>
    </w:p>
    <w:sectPr w:rsidR="00CC0185" w:rsidRPr="00F425C7" w:rsidSect="00A962DD">
      <w:headerReference w:type="default" r:id="rId16"/>
      <w:pgSz w:w="11908" w:h="16833" w:code="9"/>
      <w:pgMar w:top="1134" w:right="851" w:bottom="851" w:left="964" w:header="680" w:footer="431"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F524" w14:textId="77777777" w:rsidR="001E65C7" w:rsidRDefault="001E65C7" w:rsidP="00EF050E">
      <w:pPr>
        <w:spacing w:after="0" w:line="240" w:lineRule="auto"/>
      </w:pPr>
      <w:r>
        <w:separator/>
      </w:r>
    </w:p>
  </w:endnote>
  <w:endnote w:type="continuationSeparator" w:id="0">
    <w:p w14:paraId="517F138C" w14:textId="77777777" w:rsidR="001E65C7" w:rsidRDefault="001E65C7" w:rsidP="00EF050E">
      <w:pPr>
        <w:spacing w:after="0" w:line="240" w:lineRule="auto"/>
      </w:pPr>
      <w:r>
        <w:continuationSeparator/>
      </w:r>
    </w:p>
  </w:endnote>
  <w:endnote w:type="continuationNotice" w:id="1">
    <w:p w14:paraId="7555039A" w14:textId="77777777" w:rsidR="001E65C7" w:rsidRDefault="001E6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IC Light">
    <w:altName w:val="Calibri"/>
    <w:panose1 w:val="000004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EE20" w14:textId="77777777" w:rsidR="001E65C7" w:rsidRDefault="001E65C7" w:rsidP="00EF050E">
      <w:pPr>
        <w:spacing w:after="0" w:line="240" w:lineRule="auto"/>
      </w:pPr>
      <w:r>
        <w:separator/>
      </w:r>
    </w:p>
  </w:footnote>
  <w:footnote w:type="continuationSeparator" w:id="0">
    <w:p w14:paraId="5E958A98" w14:textId="77777777" w:rsidR="001E65C7" w:rsidRDefault="001E65C7" w:rsidP="00EF050E">
      <w:pPr>
        <w:spacing w:after="0" w:line="240" w:lineRule="auto"/>
      </w:pPr>
      <w:r>
        <w:continuationSeparator/>
      </w:r>
    </w:p>
  </w:footnote>
  <w:footnote w:type="continuationNotice" w:id="1">
    <w:p w14:paraId="62349C7B" w14:textId="77777777" w:rsidR="001E65C7" w:rsidRDefault="001E65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5824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178959D9">
            <v:line id="Straight Connector 2"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3F2F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69C53904">
            <v:line id="Straight Connector 2"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e8e8e8 [3214]" strokeweight="1pt" from="0,70.4pt" to="1190.55pt,70.4pt" w14:anchorId="3D7C5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0"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6A2"/>
    <w:multiLevelType w:val="hybridMultilevel"/>
    <w:tmpl w:val="FD3A294A"/>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A8952D8"/>
    <w:multiLevelType w:val="hybridMultilevel"/>
    <w:tmpl w:val="E452E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471C10"/>
    <w:multiLevelType w:val="hybridMultilevel"/>
    <w:tmpl w:val="EBE452EE"/>
    <w:lvl w:ilvl="0" w:tplc="0C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F76276E"/>
    <w:multiLevelType w:val="hybridMultilevel"/>
    <w:tmpl w:val="2DDE2D82"/>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5" w15:restartNumberingAfterBreak="0">
    <w:nsid w:val="27DE2F52"/>
    <w:multiLevelType w:val="hybridMultilevel"/>
    <w:tmpl w:val="BB401DEE"/>
    <w:lvl w:ilvl="0" w:tplc="0C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D48AD"/>
    <w:multiLevelType w:val="hybridMultilevel"/>
    <w:tmpl w:val="98EC1E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6A20AA"/>
    <w:multiLevelType w:val="hybridMultilevel"/>
    <w:tmpl w:val="658ADA34"/>
    <w:lvl w:ilvl="0" w:tplc="9BE06FF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9048A2"/>
    <w:multiLevelType w:val="hybridMultilevel"/>
    <w:tmpl w:val="5E902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CE4EFC"/>
    <w:multiLevelType w:val="hybridMultilevel"/>
    <w:tmpl w:val="A4863B0A"/>
    <w:lvl w:ilvl="0" w:tplc="0C090003">
      <w:start w:val="1"/>
      <w:numFmt w:val="bullet"/>
      <w:lvlText w:val="o"/>
      <w:lvlJc w:val="left"/>
      <w:pPr>
        <w:ind w:left="1931" w:hanging="360"/>
      </w:pPr>
      <w:rPr>
        <w:rFonts w:ascii="Courier New" w:hAnsi="Courier New" w:cs="Courier New"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2" w15:restartNumberingAfterBreak="0">
    <w:nsid w:val="603A5CE2"/>
    <w:multiLevelType w:val="hybridMultilevel"/>
    <w:tmpl w:val="2A181DA8"/>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num w:numId="1" w16cid:durableId="1944342648">
    <w:abstractNumId w:val="13"/>
  </w:num>
  <w:num w:numId="2" w16cid:durableId="365838606">
    <w:abstractNumId w:val="4"/>
  </w:num>
  <w:num w:numId="3" w16cid:durableId="1083841058">
    <w:abstractNumId w:val="6"/>
  </w:num>
  <w:num w:numId="4" w16cid:durableId="1915121307">
    <w:abstractNumId w:val="1"/>
  </w:num>
  <w:num w:numId="5" w16cid:durableId="761491786">
    <w:abstractNumId w:val="7"/>
  </w:num>
  <w:num w:numId="6" w16cid:durableId="1248493311">
    <w:abstractNumId w:val="11"/>
  </w:num>
  <w:num w:numId="7" w16cid:durableId="683554651">
    <w:abstractNumId w:val="10"/>
  </w:num>
  <w:num w:numId="8" w16cid:durableId="1428842096">
    <w:abstractNumId w:val="3"/>
  </w:num>
  <w:num w:numId="9" w16cid:durableId="1984845698">
    <w:abstractNumId w:val="8"/>
  </w:num>
  <w:num w:numId="10" w16cid:durableId="723943289">
    <w:abstractNumId w:val="0"/>
  </w:num>
  <w:num w:numId="11" w16cid:durableId="1455909087">
    <w:abstractNumId w:val="2"/>
  </w:num>
  <w:num w:numId="12" w16cid:durableId="630213258">
    <w:abstractNumId w:val="5"/>
  </w:num>
  <w:num w:numId="13" w16cid:durableId="99692907">
    <w:abstractNumId w:val="12"/>
  </w:num>
  <w:num w:numId="14" w16cid:durableId="159436300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002D9"/>
    <w:rsid w:val="0000367A"/>
    <w:rsid w:val="000064FA"/>
    <w:rsid w:val="00012264"/>
    <w:rsid w:val="00020657"/>
    <w:rsid w:val="0002087D"/>
    <w:rsid w:val="00021DE2"/>
    <w:rsid w:val="00032206"/>
    <w:rsid w:val="00041DFF"/>
    <w:rsid w:val="00045F1A"/>
    <w:rsid w:val="000508E3"/>
    <w:rsid w:val="00054002"/>
    <w:rsid w:val="00060839"/>
    <w:rsid w:val="00063A5A"/>
    <w:rsid w:val="00070E49"/>
    <w:rsid w:val="00083FE3"/>
    <w:rsid w:val="000B33B7"/>
    <w:rsid w:val="000B6FC3"/>
    <w:rsid w:val="000B73A9"/>
    <w:rsid w:val="000C5114"/>
    <w:rsid w:val="000C6248"/>
    <w:rsid w:val="000D011D"/>
    <w:rsid w:val="000D1A80"/>
    <w:rsid w:val="000E27FF"/>
    <w:rsid w:val="000F0E85"/>
    <w:rsid w:val="001066FF"/>
    <w:rsid w:val="00106D85"/>
    <w:rsid w:val="00110B16"/>
    <w:rsid w:val="00120665"/>
    <w:rsid w:val="00126509"/>
    <w:rsid w:val="00131D7E"/>
    <w:rsid w:val="00132041"/>
    <w:rsid w:val="00144046"/>
    <w:rsid w:val="0014628B"/>
    <w:rsid w:val="001469F8"/>
    <w:rsid w:val="00147A2D"/>
    <w:rsid w:val="0015229B"/>
    <w:rsid w:val="00153C1B"/>
    <w:rsid w:val="00162BFD"/>
    <w:rsid w:val="00164AB4"/>
    <w:rsid w:val="001A0D90"/>
    <w:rsid w:val="001B0B8F"/>
    <w:rsid w:val="001B5CF4"/>
    <w:rsid w:val="001C1BD6"/>
    <w:rsid w:val="001C2091"/>
    <w:rsid w:val="001C4DE9"/>
    <w:rsid w:val="001C67C8"/>
    <w:rsid w:val="001D11A2"/>
    <w:rsid w:val="001D25A8"/>
    <w:rsid w:val="001E65C7"/>
    <w:rsid w:val="00205756"/>
    <w:rsid w:val="00207667"/>
    <w:rsid w:val="00212AAD"/>
    <w:rsid w:val="00217C22"/>
    <w:rsid w:val="00221535"/>
    <w:rsid w:val="0023427A"/>
    <w:rsid w:val="002348CB"/>
    <w:rsid w:val="002365B2"/>
    <w:rsid w:val="002417DC"/>
    <w:rsid w:val="002478C6"/>
    <w:rsid w:val="002732AB"/>
    <w:rsid w:val="00282C24"/>
    <w:rsid w:val="00284AB7"/>
    <w:rsid w:val="00292F17"/>
    <w:rsid w:val="0029514C"/>
    <w:rsid w:val="002A2E15"/>
    <w:rsid w:val="002A70B0"/>
    <w:rsid w:val="002B6E18"/>
    <w:rsid w:val="002B7E2B"/>
    <w:rsid w:val="002C3F30"/>
    <w:rsid w:val="002E4C83"/>
    <w:rsid w:val="002F2C3E"/>
    <w:rsid w:val="00301BAB"/>
    <w:rsid w:val="0031182A"/>
    <w:rsid w:val="00315879"/>
    <w:rsid w:val="00316518"/>
    <w:rsid w:val="00320359"/>
    <w:rsid w:val="003217BC"/>
    <w:rsid w:val="00325DA0"/>
    <w:rsid w:val="00333A99"/>
    <w:rsid w:val="00342FB7"/>
    <w:rsid w:val="00352DA0"/>
    <w:rsid w:val="003560AE"/>
    <w:rsid w:val="00356B19"/>
    <w:rsid w:val="00356EBB"/>
    <w:rsid w:val="003747C9"/>
    <w:rsid w:val="00375B9A"/>
    <w:rsid w:val="0038677B"/>
    <w:rsid w:val="00390229"/>
    <w:rsid w:val="00396DFE"/>
    <w:rsid w:val="003A1660"/>
    <w:rsid w:val="003A3925"/>
    <w:rsid w:val="003B5FBB"/>
    <w:rsid w:val="003B7E53"/>
    <w:rsid w:val="003C0992"/>
    <w:rsid w:val="003C09CF"/>
    <w:rsid w:val="003C63D8"/>
    <w:rsid w:val="003C7CB4"/>
    <w:rsid w:val="003D0B4A"/>
    <w:rsid w:val="003D1A43"/>
    <w:rsid w:val="003D2BD8"/>
    <w:rsid w:val="003F57BB"/>
    <w:rsid w:val="00403877"/>
    <w:rsid w:val="00406951"/>
    <w:rsid w:val="004076EC"/>
    <w:rsid w:val="0041034B"/>
    <w:rsid w:val="00414BAF"/>
    <w:rsid w:val="00423AF0"/>
    <w:rsid w:val="0042559D"/>
    <w:rsid w:val="00427B38"/>
    <w:rsid w:val="00431ABD"/>
    <w:rsid w:val="00432128"/>
    <w:rsid w:val="00436506"/>
    <w:rsid w:val="00453354"/>
    <w:rsid w:val="00463F67"/>
    <w:rsid w:val="00470DA3"/>
    <w:rsid w:val="004719B4"/>
    <w:rsid w:val="00486ACF"/>
    <w:rsid w:val="00490662"/>
    <w:rsid w:val="00490B85"/>
    <w:rsid w:val="00493C33"/>
    <w:rsid w:val="004A4CAC"/>
    <w:rsid w:val="004A54EC"/>
    <w:rsid w:val="004A5566"/>
    <w:rsid w:val="004B0040"/>
    <w:rsid w:val="004B25E3"/>
    <w:rsid w:val="004B2A38"/>
    <w:rsid w:val="004B55B1"/>
    <w:rsid w:val="004C2BFF"/>
    <w:rsid w:val="004C6315"/>
    <w:rsid w:val="004D0EAB"/>
    <w:rsid w:val="004D288A"/>
    <w:rsid w:val="004E2F93"/>
    <w:rsid w:val="004E4079"/>
    <w:rsid w:val="004E5214"/>
    <w:rsid w:val="004F522C"/>
    <w:rsid w:val="00505B74"/>
    <w:rsid w:val="00506377"/>
    <w:rsid w:val="005313F4"/>
    <w:rsid w:val="00541081"/>
    <w:rsid w:val="00542F56"/>
    <w:rsid w:val="00544AAA"/>
    <w:rsid w:val="005562A1"/>
    <w:rsid w:val="0056449A"/>
    <w:rsid w:val="00564CE3"/>
    <w:rsid w:val="0057129B"/>
    <w:rsid w:val="005724F8"/>
    <w:rsid w:val="00582907"/>
    <w:rsid w:val="00590002"/>
    <w:rsid w:val="00595805"/>
    <w:rsid w:val="00596179"/>
    <w:rsid w:val="00597F13"/>
    <w:rsid w:val="005A5A16"/>
    <w:rsid w:val="005C6B71"/>
    <w:rsid w:val="005D4787"/>
    <w:rsid w:val="005D5547"/>
    <w:rsid w:val="005F0B79"/>
    <w:rsid w:val="00601D16"/>
    <w:rsid w:val="00603B03"/>
    <w:rsid w:val="00604618"/>
    <w:rsid w:val="006062EF"/>
    <w:rsid w:val="00610E82"/>
    <w:rsid w:val="00615770"/>
    <w:rsid w:val="0063200A"/>
    <w:rsid w:val="006771CC"/>
    <w:rsid w:val="00680816"/>
    <w:rsid w:val="00697BC6"/>
    <w:rsid w:val="006A408D"/>
    <w:rsid w:val="006B48A6"/>
    <w:rsid w:val="006B673A"/>
    <w:rsid w:val="006C09B1"/>
    <w:rsid w:val="006C3F29"/>
    <w:rsid w:val="006C6F26"/>
    <w:rsid w:val="006E5F40"/>
    <w:rsid w:val="006E61CE"/>
    <w:rsid w:val="006F0A22"/>
    <w:rsid w:val="006F1602"/>
    <w:rsid w:val="006F5EA4"/>
    <w:rsid w:val="00710031"/>
    <w:rsid w:val="00712619"/>
    <w:rsid w:val="00713952"/>
    <w:rsid w:val="00731D3B"/>
    <w:rsid w:val="0073555A"/>
    <w:rsid w:val="0073677D"/>
    <w:rsid w:val="0074015D"/>
    <w:rsid w:val="00746F88"/>
    <w:rsid w:val="00752E32"/>
    <w:rsid w:val="00764177"/>
    <w:rsid w:val="00766F9A"/>
    <w:rsid w:val="00767077"/>
    <w:rsid w:val="00782758"/>
    <w:rsid w:val="00785848"/>
    <w:rsid w:val="00786FA0"/>
    <w:rsid w:val="007904E6"/>
    <w:rsid w:val="00791ABB"/>
    <w:rsid w:val="00792742"/>
    <w:rsid w:val="007941F6"/>
    <w:rsid w:val="00797A17"/>
    <w:rsid w:val="007A782B"/>
    <w:rsid w:val="007B2627"/>
    <w:rsid w:val="007B3346"/>
    <w:rsid w:val="007B4EA6"/>
    <w:rsid w:val="007B538F"/>
    <w:rsid w:val="007C67D7"/>
    <w:rsid w:val="007D596B"/>
    <w:rsid w:val="007E2B9D"/>
    <w:rsid w:val="007E3EB0"/>
    <w:rsid w:val="007F624B"/>
    <w:rsid w:val="007F68B9"/>
    <w:rsid w:val="007F6FD7"/>
    <w:rsid w:val="008312C8"/>
    <w:rsid w:val="00831A3B"/>
    <w:rsid w:val="00840755"/>
    <w:rsid w:val="008440B1"/>
    <w:rsid w:val="008448A9"/>
    <w:rsid w:val="00846422"/>
    <w:rsid w:val="00851EEF"/>
    <w:rsid w:val="008532E3"/>
    <w:rsid w:val="008634C5"/>
    <w:rsid w:val="00867ED1"/>
    <w:rsid w:val="00867F22"/>
    <w:rsid w:val="0087108A"/>
    <w:rsid w:val="00876F4F"/>
    <w:rsid w:val="00894D33"/>
    <w:rsid w:val="00894FBA"/>
    <w:rsid w:val="008A6485"/>
    <w:rsid w:val="008C630B"/>
    <w:rsid w:val="008C7A92"/>
    <w:rsid w:val="008D6232"/>
    <w:rsid w:val="008E1279"/>
    <w:rsid w:val="008E3CA7"/>
    <w:rsid w:val="008F0196"/>
    <w:rsid w:val="008F1B2B"/>
    <w:rsid w:val="008F244E"/>
    <w:rsid w:val="008F7029"/>
    <w:rsid w:val="009029F9"/>
    <w:rsid w:val="00903A44"/>
    <w:rsid w:val="00911E1A"/>
    <w:rsid w:val="0091205A"/>
    <w:rsid w:val="00915018"/>
    <w:rsid w:val="00917993"/>
    <w:rsid w:val="009269D2"/>
    <w:rsid w:val="00933005"/>
    <w:rsid w:val="00936444"/>
    <w:rsid w:val="0094729B"/>
    <w:rsid w:val="00967787"/>
    <w:rsid w:val="00967D49"/>
    <w:rsid w:val="00984F81"/>
    <w:rsid w:val="00990E42"/>
    <w:rsid w:val="009A1467"/>
    <w:rsid w:val="009A3E6D"/>
    <w:rsid w:val="009A4ACC"/>
    <w:rsid w:val="009A53A0"/>
    <w:rsid w:val="009B164C"/>
    <w:rsid w:val="009D1AED"/>
    <w:rsid w:val="009F4E06"/>
    <w:rsid w:val="009F7BC3"/>
    <w:rsid w:val="00A11BD6"/>
    <w:rsid w:val="00A12966"/>
    <w:rsid w:val="00A22824"/>
    <w:rsid w:val="00A3405F"/>
    <w:rsid w:val="00A34FEE"/>
    <w:rsid w:val="00A53079"/>
    <w:rsid w:val="00A63069"/>
    <w:rsid w:val="00A73C4F"/>
    <w:rsid w:val="00A81200"/>
    <w:rsid w:val="00A8355B"/>
    <w:rsid w:val="00A962DD"/>
    <w:rsid w:val="00A97FE7"/>
    <w:rsid w:val="00AA1624"/>
    <w:rsid w:val="00AA3A21"/>
    <w:rsid w:val="00AB4339"/>
    <w:rsid w:val="00AB703F"/>
    <w:rsid w:val="00AC5107"/>
    <w:rsid w:val="00AF2040"/>
    <w:rsid w:val="00AF7DFB"/>
    <w:rsid w:val="00B10112"/>
    <w:rsid w:val="00B1212F"/>
    <w:rsid w:val="00B2450E"/>
    <w:rsid w:val="00B42F24"/>
    <w:rsid w:val="00B45CAC"/>
    <w:rsid w:val="00B51956"/>
    <w:rsid w:val="00B52607"/>
    <w:rsid w:val="00B875F9"/>
    <w:rsid w:val="00B9082E"/>
    <w:rsid w:val="00BA56AB"/>
    <w:rsid w:val="00BB768A"/>
    <w:rsid w:val="00BC7B7B"/>
    <w:rsid w:val="00BD531D"/>
    <w:rsid w:val="00BE13E0"/>
    <w:rsid w:val="00BE5375"/>
    <w:rsid w:val="00BF6A92"/>
    <w:rsid w:val="00C12735"/>
    <w:rsid w:val="00C1493E"/>
    <w:rsid w:val="00C17E80"/>
    <w:rsid w:val="00C23A7E"/>
    <w:rsid w:val="00C3539D"/>
    <w:rsid w:val="00C369A2"/>
    <w:rsid w:val="00C47FD0"/>
    <w:rsid w:val="00C528BD"/>
    <w:rsid w:val="00C65DD7"/>
    <w:rsid w:val="00C70E0E"/>
    <w:rsid w:val="00C7274D"/>
    <w:rsid w:val="00C75852"/>
    <w:rsid w:val="00CA5BB9"/>
    <w:rsid w:val="00CB625D"/>
    <w:rsid w:val="00CC0185"/>
    <w:rsid w:val="00CC2D3E"/>
    <w:rsid w:val="00CC6C4C"/>
    <w:rsid w:val="00CD2FE8"/>
    <w:rsid w:val="00CE6170"/>
    <w:rsid w:val="00CE6B60"/>
    <w:rsid w:val="00CF176A"/>
    <w:rsid w:val="00CF2D08"/>
    <w:rsid w:val="00CF4746"/>
    <w:rsid w:val="00D01778"/>
    <w:rsid w:val="00D07680"/>
    <w:rsid w:val="00D11253"/>
    <w:rsid w:val="00D23562"/>
    <w:rsid w:val="00D449BF"/>
    <w:rsid w:val="00D537E7"/>
    <w:rsid w:val="00D60613"/>
    <w:rsid w:val="00D63572"/>
    <w:rsid w:val="00D732CF"/>
    <w:rsid w:val="00D86B13"/>
    <w:rsid w:val="00D87C07"/>
    <w:rsid w:val="00D958CB"/>
    <w:rsid w:val="00DA65D6"/>
    <w:rsid w:val="00DA71BB"/>
    <w:rsid w:val="00DB1582"/>
    <w:rsid w:val="00DB40BB"/>
    <w:rsid w:val="00DB6E3F"/>
    <w:rsid w:val="00DC2E8E"/>
    <w:rsid w:val="00DD7329"/>
    <w:rsid w:val="00DE550B"/>
    <w:rsid w:val="00E03B15"/>
    <w:rsid w:val="00E0514C"/>
    <w:rsid w:val="00E354BF"/>
    <w:rsid w:val="00E360B2"/>
    <w:rsid w:val="00E51B7E"/>
    <w:rsid w:val="00E571F9"/>
    <w:rsid w:val="00E6150F"/>
    <w:rsid w:val="00E739D6"/>
    <w:rsid w:val="00E95907"/>
    <w:rsid w:val="00EA6FDF"/>
    <w:rsid w:val="00EB25DB"/>
    <w:rsid w:val="00EC173A"/>
    <w:rsid w:val="00EC3C88"/>
    <w:rsid w:val="00ED0BD5"/>
    <w:rsid w:val="00ED15B9"/>
    <w:rsid w:val="00ED5C1A"/>
    <w:rsid w:val="00ED5F02"/>
    <w:rsid w:val="00EF050E"/>
    <w:rsid w:val="00F052DF"/>
    <w:rsid w:val="00F07769"/>
    <w:rsid w:val="00F20300"/>
    <w:rsid w:val="00F2385F"/>
    <w:rsid w:val="00F374CE"/>
    <w:rsid w:val="00F41C88"/>
    <w:rsid w:val="00F425C7"/>
    <w:rsid w:val="00F51A56"/>
    <w:rsid w:val="00F57572"/>
    <w:rsid w:val="00F57AF7"/>
    <w:rsid w:val="00F669F5"/>
    <w:rsid w:val="00F72013"/>
    <w:rsid w:val="00F8543C"/>
    <w:rsid w:val="00F9672D"/>
    <w:rsid w:val="00F97D37"/>
    <w:rsid w:val="00FA3077"/>
    <w:rsid w:val="00FA48FC"/>
    <w:rsid w:val="00FB436A"/>
    <w:rsid w:val="00FB6A6B"/>
    <w:rsid w:val="00FD03BC"/>
    <w:rsid w:val="00FF3A6C"/>
    <w:rsid w:val="00FF5F7B"/>
    <w:rsid w:val="091A755B"/>
    <w:rsid w:val="0FC70617"/>
    <w:rsid w:val="2DE0F550"/>
    <w:rsid w:val="42EC1A73"/>
    <w:rsid w:val="59B11DA7"/>
    <w:rsid w:val="64DED651"/>
    <w:rsid w:val="714023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BB3F"/>
  <w15:chartTrackingRefBased/>
  <w15:docId w15:val="{CBD04F42-5D37-44CD-9D97-5A51B68B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uiPriority w:val="99"/>
    <w:rsid w:val="00EF050E"/>
    <w:rPr>
      <w:sz w:val="16"/>
      <w:szCs w:val="16"/>
    </w:rPr>
  </w:style>
  <w:style w:type="paragraph" w:styleId="CommentText">
    <w:name w:val="annotation text"/>
    <w:basedOn w:val="Normal"/>
    <w:link w:val="CommentTextChar"/>
    <w:uiPriority w:val="99"/>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2-Numbered">
    <w:name w:val="Heading 2 - Numbered"/>
    <w:basedOn w:val="Heading2"/>
    <w:next w:val="Normal"/>
    <w:link w:val="Heading2-NumberedChar"/>
    <w:uiPriority w:val="9"/>
    <w:qFormat/>
    <w:rsid w:val="0038677B"/>
    <w:pPr>
      <w:spacing w:before="240" w:after="120" w:line="240" w:lineRule="auto"/>
      <w:ind w:left="680" w:hanging="680"/>
      <w:contextualSpacing/>
    </w:pPr>
    <w:rPr>
      <w:b/>
      <w:sz w:val="24"/>
      <w:szCs w:val="26"/>
    </w:rPr>
  </w:style>
  <w:style w:type="character" w:customStyle="1" w:styleId="Heading2-NumberedChar">
    <w:name w:val="Heading 2 - Numbered Char"/>
    <w:basedOn w:val="Heading2Char"/>
    <w:link w:val="Heading2-Numbered"/>
    <w:uiPriority w:val="9"/>
    <w:rsid w:val="0038677B"/>
    <w:rPr>
      <w:rFonts w:asciiTheme="majorHAnsi" w:eastAsiaTheme="majorEastAsia" w:hAnsiTheme="majorHAnsi" w:cstheme="majorBidi"/>
      <w:b/>
      <w:color w:val="0F4761"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qual@transport.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07F2173C74B48B0DC6DD66252AA3C" ma:contentTypeVersion="10" ma:contentTypeDescription="Create a new document." ma:contentTypeScope="" ma:versionID="61d6378f69b7bc3432f9d1b5957b6da2">
  <xsd:schema xmlns:xsd="http://www.w3.org/2001/XMLSchema" xmlns:xs="http://www.w3.org/2001/XMLSchema" xmlns:p="http://schemas.microsoft.com/office/2006/metadata/properties" xmlns:ns2="28e7cb17-2731-456e-a397-f8b5a353404b" xmlns:ns3="89a399a3-3b21-46d6-9c8b-b184098d8e42" xmlns:ns4="04b71389-1906-47c5-851f-358a89a05ede" xmlns:ns5="60241be0-662e-4965-8cd3-ab8051b8fa86" targetNamespace="http://schemas.microsoft.com/office/2006/metadata/properties" ma:root="true" ma:fieldsID="89e330300b0ea6345b1fefe57be135a8" ns2:_="" ns3:_="" ns4:_="" ns5:_="">
    <xsd:import namespace="28e7cb17-2731-456e-a397-f8b5a353404b"/>
    <xsd:import namespace="89a399a3-3b21-46d6-9c8b-b184098d8e42"/>
    <xsd:import namespace="04b71389-1906-47c5-851f-358a89a05ede"/>
    <xsd:import namespace="60241be0-662e-4965-8cd3-ab8051b8fa86"/>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DateTaken" minOccurs="0"/>
                <xsd:element ref="ns4:MediaLengthInSeconds" minOccurs="0"/>
                <xsd:element ref="ns4:MediaServiceOCR" minOccurs="0"/>
                <xsd:element ref="ns4:MediaServiceGenerationTime" minOccurs="0"/>
                <xsd:element ref="ns4:MediaServiceEventHashCode" minOccurs="0"/>
                <xsd:element ref="ns2:MediaServiceObjectDetectorVersions" minOccurs="0"/>
                <xsd:element ref="ns2:MediaServiceLocation" minOccurs="0"/>
                <xsd:element ref="ns2:MediaServiceSearchProperties" minOccurs="0"/>
                <xsd:element ref="ns2:_Flow_SignoffStatus" minOccurs="0"/>
                <xsd:element ref="ns2:Update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7cb17-2731-456e-a397-f8b5a353404b"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UpdateComments" ma:index="26" nillable="true" ma:displayName="Update Comments" ma:format="Dropdown" ma:internalName="Updat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399a3-3b21-46d6-9c8b-b184098d8e4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a209446-763c-41eb-9b2a-c55e93451afa}" ma:internalName="TaxCatchAll" ma:showField="CatchAllData" ma:web="89a399a3-3b21-46d6-9c8b-b184098d8e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71389-1906-47c5-851f-358a89a05e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41be0-662e-4965-8cd3-ab8051b8fa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a399a3-3b21-46d6-9c8b-b184098d8e42" xsi:nil="true"/>
    <UpdateComments xmlns="28e7cb17-2731-456e-a397-f8b5a353404b" xsi:nil="true"/>
    <lcf76f155ced4ddcb4097134ff3c332f xmlns="28e7cb17-2731-456e-a397-f8b5a353404b">
      <Terms xmlns="http://schemas.microsoft.com/office/infopath/2007/PartnerControls"/>
    </lcf76f155ced4ddcb4097134ff3c332f>
    <_Flow_SignoffStatus xmlns="28e7cb17-2731-456e-a397-f8b5a35340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4A162-2434-4FD5-AE41-AA41C2A1E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7cb17-2731-456e-a397-f8b5a353404b"/>
    <ds:schemaRef ds:uri="89a399a3-3b21-46d6-9c8b-b184098d8e42"/>
    <ds:schemaRef ds:uri="04b71389-1906-47c5-851f-358a89a05ede"/>
    <ds:schemaRef ds:uri="60241be0-662e-4965-8cd3-ab8051b8f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144D4-FEB3-47A8-8152-5C9F8A48F075}">
  <ds:schemaRefs>
    <ds:schemaRef ds:uri="60241be0-662e-4965-8cd3-ab8051b8fa86"/>
    <ds:schemaRef ds:uri="04b71389-1906-47c5-851f-358a89a05ede"/>
    <ds:schemaRef ds:uri="28e7cb17-2731-456e-a397-f8b5a353404b"/>
    <ds:schemaRef ds:uri="http://purl.org/dc/terms/"/>
    <ds:schemaRef ds:uri="89a399a3-3b21-46d6-9c8b-b184098d8e4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5CD3FD0-2AC3-47E1-BB25-7D343142431F}">
  <ds:schemaRefs>
    <ds:schemaRef ds:uri="http://schemas.openxmlformats.org/officeDocument/2006/bibliography"/>
  </ds:schemaRefs>
</ds:datastoreItem>
</file>

<file path=customXml/itemProps4.xml><?xml version="1.0" encoding="utf-8"?>
<ds:datastoreItem xmlns:ds="http://schemas.openxmlformats.org/officeDocument/2006/customXml" ds:itemID="{B427FD92-53E6-4E2D-86B4-1C05B91CFF7B}">
  <ds:schemaRefs>
    <ds:schemaRef ds:uri="http://schemas.microsoft.com/sharepoint/v3/contenttype/forms"/>
  </ds:schemaRefs>
</ds:datastoreItem>
</file>

<file path=docMetadata/LabelInfo.xml><?xml version="1.0" encoding="utf-8"?>
<clbl:labelList xmlns:clbl="http://schemas.microsoft.com/office/2020/mipLabelMetadata">
  <clbl:label id="{2bbf00bd-2df2-4f76-9936-c594c868504e}"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1231</Words>
  <Characters>6912</Characters>
  <Application>Microsoft Office Word</Application>
  <DocSecurity>0</DocSecurity>
  <Lines>276</Lines>
  <Paragraphs>125</Paragraphs>
  <ScaleCrop>false</ScaleCrop>
  <Company/>
  <LinksUpToDate>false</LinksUpToDate>
  <CharactersWithSpaces>8018</CharactersWithSpaces>
  <SharedDoc>false</SharedDoc>
  <HLinks>
    <vt:vector size="6" baseType="variant">
      <vt:variant>
        <vt:i4>7733342</vt:i4>
      </vt:variant>
      <vt:variant>
        <vt:i4>0</vt:i4>
      </vt:variant>
      <vt:variant>
        <vt:i4>0</vt:i4>
      </vt:variant>
      <vt:variant>
        <vt:i4>5</vt:i4>
      </vt:variant>
      <vt:variant>
        <vt:lpwstr>mailto:prequal@transport.vic.gov.au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2</cp:revision>
  <dcterms:created xsi:type="dcterms:W3CDTF">2025-10-07T03:43:00Z</dcterms:created>
  <dcterms:modified xsi:type="dcterms:W3CDTF">2025-10-07T03:43:00Z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0x0101008C707F2173C74B48B0DC6DD66252AA3C</vt:lpwstr>
  </property>
</Properties>
</file>