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01C36538" w:rsidR="00EF050E" w:rsidRPr="008B1E6C" w:rsidRDefault="00EF050E" w:rsidP="007136BF">
          <w:pPr>
            <w:pStyle w:val="LightReportTite"/>
            <w:rPr>
              <w:rFonts w:ascii="VIC" w:hAnsi="VIC"/>
            </w:rPr>
          </w:pPr>
          <w:r w:rsidRPr="008B1E6C">
            <w:rPr>
              <w:rFonts w:ascii="VIC" w:hAnsi="VIC"/>
              <w:noProof/>
            </w:rPr>
            <w:drawing>
              <wp:anchor distT="0" distB="0" distL="114300" distR="114300" simplePos="0" relativeHeight="251660288" behindDoc="1" locked="0" layoutInCell="1" allowOverlap="1" wp14:anchorId="76CD3688" wp14:editId="359FCE19">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8B1E6C">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8B1E6C">
            <w:rPr>
              <w:rFonts w:ascii="VIC" w:hAnsi="VIC"/>
            </w:rPr>
            <w:t>Part B –</w:t>
          </w:r>
          <w:r w:rsidR="00301410" w:rsidRPr="008B1E6C">
            <w:rPr>
              <w:rFonts w:ascii="VIC" w:hAnsi="VIC"/>
            </w:rPr>
            <w:t>Proof Engineering – Structures (PE)</w:t>
          </w:r>
          <w:r w:rsidR="00A35134">
            <w:rPr>
              <w:rFonts w:ascii="VIC" w:hAnsi="VIC"/>
            </w:rPr>
            <w:t xml:space="preserve"> Level</w:t>
          </w:r>
          <w:r w:rsidR="00301410" w:rsidRPr="008B1E6C">
            <w:rPr>
              <w:rFonts w:ascii="VIC" w:hAnsi="VIC"/>
            </w:rPr>
            <w:t xml:space="preserve"> </w:t>
          </w:r>
          <w:r w:rsidR="008B1E6C" w:rsidRPr="008B1E6C">
            <w:rPr>
              <w:rFonts w:ascii="VIC" w:hAnsi="VIC"/>
            </w:rPr>
            <w:t>Application</w:t>
          </w:r>
        </w:p>
        <w:p w14:paraId="6F1E87BB" w14:textId="3451B361" w:rsidR="00EF050E" w:rsidRPr="00EF050E" w:rsidRDefault="00EF050E">
          <w:pPr>
            <w:rPr>
              <w:rFonts w:ascii="VIC" w:hAnsi="VIC"/>
            </w:rPr>
          </w:pPr>
          <w:r w:rsidRPr="00EF050E">
            <w:rPr>
              <w:rFonts w:ascii="VIC" w:hAnsi="VIC"/>
            </w:rPr>
            <w:br w:type="page"/>
          </w:r>
        </w:p>
      </w:sdtContent>
    </w:sdt>
    <w:p w14:paraId="21F6A6B6" w14:textId="77777777" w:rsidR="00CC0185" w:rsidRPr="00A227F3" w:rsidRDefault="00CC0185" w:rsidP="00CC0185">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lastRenderedPageBreak/>
        <w:t>Application Instructions</w:t>
      </w:r>
    </w:p>
    <w:p w14:paraId="0E664C9E" w14:textId="77777777" w:rsidR="00CC0185" w:rsidRDefault="00CC0185" w:rsidP="00CC0185">
      <w:pPr>
        <w:rPr>
          <w:kern w:val="2"/>
          <w14:ligatures w14:val="standardContextual"/>
        </w:rPr>
      </w:pPr>
    </w:p>
    <w:p w14:paraId="027B5AB5" w14:textId="77777777" w:rsidR="008B1E6C" w:rsidRPr="00C26958" w:rsidRDefault="008B1E6C" w:rsidP="008B1E6C">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51538F6B" w14:textId="77777777" w:rsidR="008B1E6C" w:rsidRPr="00A227F3" w:rsidRDefault="008B1E6C" w:rsidP="008B1E6C">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0DB1E886" w14:textId="77777777" w:rsidR="008B1E6C" w:rsidRPr="00A227F3" w:rsidRDefault="008B1E6C" w:rsidP="008B1E6C">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7D320F54" w14:textId="77777777" w:rsidR="008B1E6C" w:rsidRPr="00A227F3" w:rsidRDefault="008B1E6C" w:rsidP="008B1E6C">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048301A1" w14:textId="77777777" w:rsidR="008B1E6C" w:rsidRPr="00FC2B38" w:rsidRDefault="008B1E6C" w:rsidP="008B1E6C">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30E2378F" w14:textId="77777777" w:rsidR="008B1E6C" w:rsidRPr="00A227F3" w:rsidRDefault="008B1E6C" w:rsidP="008B1E6C">
      <w:pPr>
        <w:pStyle w:val="ListParagraph"/>
        <w:widowControl w:val="0"/>
        <w:numPr>
          <w:ilvl w:val="0"/>
          <w:numId w:val="28"/>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717A3A05" w14:textId="77777777" w:rsidR="008B1E6C" w:rsidRPr="00A227F3" w:rsidRDefault="008B1E6C" w:rsidP="008B1E6C">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7910C02F" w14:textId="77777777" w:rsidR="008B1E6C" w:rsidRPr="00A227F3" w:rsidRDefault="008B1E6C" w:rsidP="008B1E6C">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12A9BA59" w14:textId="77777777" w:rsidR="008B1E6C" w:rsidRPr="00C26958" w:rsidRDefault="008B1E6C" w:rsidP="008B1E6C">
      <w:pPr>
        <w:pStyle w:val="ListParagraph"/>
        <w:widowControl w:val="0"/>
        <w:numPr>
          <w:ilvl w:val="0"/>
          <w:numId w:val="28"/>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145E91C5" w14:textId="77777777" w:rsidR="008B1E6C" w:rsidRDefault="008B1E6C" w:rsidP="008B1E6C">
      <w:pPr>
        <w:pStyle w:val="ListParagraph"/>
        <w:widowControl w:val="0"/>
        <w:spacing w:after="0" w:line="240" w:lineRule="auto"/>
        <w:rPr>
          <w:rFonts w:ascii="VIC" w:hAnsi="VIC"/>
          <w:b/>
          <w:sz w:val="20"/>
          <w:szCs w:val="20"/>
        </w:rPr>
      </w:pPr>
    </w:p>
    <w:p w14:paraId="0B0AF734" w14:textId="77777777" w:rsidR="008B1E6C" w:rsidRPr="00A227F3" w:rsidRDefault="008B1E6C" w:rsidP="008B1E6C">
      <w:pPr>
        <w:pStyle w:val="ListParagraph"/>
        <w:widowControl w:val="0"/>
        <w:spacing w:after="0" w:line="240" w:lineRule="auto"/>
        <w:rPr>
          <w:rFonts w:ascii="VIC" w:hAnsi="VIC"/>
          <w:b/>
          <w:sz w:val="20"/>
          <w:szCs w:val="20"/>
        </w:rPr>
      </w:pPr>
    </w:p>
    <w:bookmarkEnd w:id="0"/>
    <w:p w14:paraId="3EBA480D" w14:textId="77777777" w:rsidR="008B1E6C" w:rsidRPr="00EE2D8C" w:rsidRDefault="008B1E6C" w:rsidP="008B1E6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0B6B037A" w14:textId="77777777" w:rsidR="008B1E6C" w:rsidRDefault="008B1E6C" w:rsidP="008B1E6C">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23711040" w14:textId="77777777" w:rsidR="008B1E6C" w:rsidRPr="00892ECD" w:rsidRDefault="008B1E6C" w:rsidP="008B1E6C">
      <w:pPr>
        <w:pStyle w:val="ListParagraph"/>
        <w:keepNext/>
        <w:keepLines/>
        <w:numPr>
          <w:ilvl w:val="0"/>
          <w:numId w:val="32"/>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9" w:history="1">
        <w:r w:rsidRPr="00892ECD">
          <w:rPr>
            <w:rFonts w:ascii="VIC" w:hAnsi="VIC"/>
            <w:color w:val="0000FF"/>
            <w:kern w:val="2"/>
            <w:sz w:val="20"/>
            <w:szCs w:val="20"/>
            <w:u w:val="single"/>
            <w14:ligatures w14:val="standardContextual"/>
          </w:rPr>
          <w:t>prequal@transport.vic.gov.au</w:t>
        </w:r>
      </w:hyperlink>
    </w:p>
    <w:p w14:paraId="4389322E" w14:textId="77777777" w:rsidR="008B1E6C" w:rsidRDefault="008B1E6C" w:rsidP="008B1E6C">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xml:space="preserve">** Applications will only be accepted from </w:t>
      </w:r>
      <w:proofErr w:type="gramStart"/>
      <w:r w:rsidRPr="002A1BA5">
        <w:rPr>
          <w:rFonts w:ascii="VIC" w:hAnsi="VIC"/>
          <w:b/>
          <w:i/>
          <w:kern w:val="2"/>
          <w:sz w:val="20"/>
          <w:szCs w:val="20"/>
          <w14:ligatures w14:val="standardContextual"/>
        </w:rPr>
        <w:t>cloud based</w:t>
      </w:r>
      <w:proofErr w:type="gramEnd"/>
      <w:r w:rsidRPr="002A1BA5">
        <w:rPr>
          <w:rFonts w:ascii="VIC" w:hAnsi="VIC"/>
          <w:b/>
          <w:i/>
          <w:kern w:val="2"/>
          <w:sz w:val="20"/>
          <w:szCs w:val="20"/>
          <w14:ligatures w14:val="standardContextual"/>
        </w:rPr>
        <w:t xml:space="preserve"> storage services</w:t>
      </w:r>
    </w:p>
    <w:p w14:paraId="0156DAC4" w14:textId="77777777" w:rsidR="008B1E6C" w:rsidRPr="00A227F3" w:rsidRDefault="008B1E6C" w:rsidP="008B1E6C">
      <w:pPr>
        <w:ind w:left="720"/>
        <w:contextualSpacing/>
        <w:rPr>
          <w:rFonts w:ascii="VIC" w:hAnsi="VIC"/>
          <w:b/>
          <w:i/>
          <w:kern w:val="2"/>
          <w:sz w:val="20"/>
          <w:szCs w:val="20"/>
          <w14:ligatures w14:val="standardContextual"/>
        </w:rPr>
      </w:pPr>
    </w:p>
    <w:p w14:paraId="7C1352B0" w14:textId="77777777" w:rsidR="008B1E6C" w:rsidRPr="00A227F3" w:rsidRDefault="008B1E6C" w:rsidP="008B1E6C">
      <w:pPr>
        <w:numPr>
          <w:ilvl w:val="0"/>
          <w:numId w:val="29"/>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4EB297A8" w14:textId="77777777" w:rsidR="00CC0185" w:rsidRDefault="00CC0185" w:rsidP="00CC0185">
      <w:pPr>
        <w:pStyle w:val="Subtitle"/>
        <w:rPr>
          <w:sz w:val="48"/>
          <w:szCs w:val="48"/>
        </w:rPr>
      </w:pPr>
    </w:p>
    <w:p w14:paraId="2E5D2C49" w14:textId="77777777" w:rsidR="00CC0185" w:rsidRDefault="00CC0185" w:rsidP="003D0B4A">
      <w:pPr>
        <w:pStyle w:val="Subtitle"/>
        <w:rPr>
          <w:sz w:val="48"/>
          <w:szCs w:val="48"/>
        </w:rPr>
      </w:pPr>
    </w:p>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6E9CD30A" w14:textId="77777777" w:rsidR="008B1E6C" w:rsidRPr="008B1E6C" w:rsidRDefault="008B1E6C" w:rsidP="008B1E6C"/>
    <w:p w14:paraId="5E30FD8E" w14:textId="77777777" w:rsidR="00CC0185" w:rsidRPr="00CC0185" w:rsidRDefault="00CC0185" w:rsidP="00CC0185"/>
    <w:p w14:paraId="4BB32CFC" w14:textId="2C7258F4" w:rsidR="003D0B4A" w:rsidRPr="008B1E6C" w:rsidRDefault="003D0B4A" w:rsidP="003D0B4A">
      <w:pPr>
        <w:pStyle w:val="Subtitle"/>
        <w:rPr>
          <w:rFonts w:ascii="VIC" w:hAnsi="VIC"/>
          <w:b/>
          <w:color w:val="0F4761" w:themeColor="accent1" w:themeShade="BF"/>
          <w:spacing w:val="0"/>
          <w:sz w:val="36"/>
          <w:szCs w:val="36"/>
        </w:rPr>
      </w:pPr>
      <w:r w:rsidRPr="008B1E6C">
        <w:rPr>
          <w:rFonts w:ascii="VIC" w:hAnsi="VIC"/>
          <w:b/>
          <w:color w:val="0F4761" w:themeColor="accent1" w:themeShade="BF"/>
          <w:spacing w:val="0"/>
          <w:sz w:val="36"/>
          <w:szCs w:val="36"/>
        </w:rPr>
        <w:lastRenderedPageBreak/>
        <w:t xml:space="preserve">Part B </w:t>
      </w:r>
    </w:p>
    <w:p w14:paraId="00D5C178" w14:textId="31D869BC" w:rsidR="008C7A92" w:rsidRDefault="00301410" w:rsidP="00746F88">
      <w:pPr>
        <w:spacing w:after="0" w:line="240" w:lineRule="auto"/>
        <w:rPr>
          <w:rFonts w:ascii="VIC" w:eastAsiaTheme="majorEastAsia" w:hAnsi="VIC" w:cstheme="majorBidi"/>
          <w:b/>
          <w:color w:val="0F4761" w:themeColor="accent1" w:themeShade="BF"/>
          <w:sz w:val="32"/>
          <w:szCs w:val="32"/>
        </w:rPr>
      </w:pPr>
      <w:r w:rsidRPr="00301410">
        <w:rPr>
          <w:rFonts w:ascii="VIC" w:eastAsiaTheme="majorEastAsia" w:hAnsi="VIC" w:cstheme="majorBidi"/>
          <w:b/>
          <w:color w:val="0F4761" w:themeColor="accent1" w:themeShade="BF"/>
          <w:sz w:val="32"/>
          <w:szCs w:val="32"/>
        </w:rPr>
        <w:t>Proof Engineering</w:t>
      </w:r>
      <w:r>
        <w:rPr>
          <w:rFonts w:ascii="VIC" w:eastAsiaTheme="majorEastAsia" w:hAnsi="VIC" w:cstheme="majorBidi"/>
          <w:b/>
          <w:color w:val="0F4761" w:themeColor="accent1" w:themeShade="BF"/>
          <w:sz w:val="32"/>
          <w:szCs w:val="32"/>
        </w:rPr>
        <w:t xml:space="preserve"> – Structures (PE)</w:t>
      </w:r>
      <w:r w:rsidRPr="00301410">
        <w:rPr>
          <w:rFonts w:ascii="VIC" w:eastAsiaTheme="majorEastAsia" w:hAnsi="VIC" w:cstheme="majorBidi"/>
          <w:b/>
          <w:color w:val="0F4761" w:themeColor="accent1" w:themeShade="BF"/>
          <w:sz w:val="32"/>
          <w:szCs w:val="32"/>
        </w:rPr>
        <w:t xml:space="preserve"> </w:t>
      </w:r>
      <w:r w:rsidR="008B1E6C">
        <w:rPr>
          <w:rFonts w:ascii="VIC" w:eastAsiaTheme="majorEastAsia" w:hAnsi="VIC" w:cstheme="majorBidi"/>
          <w:b/>
          <w:color w:val="0F4761" w:themeColor="accent1" w:themeShade="BF"/>
          <w:sz w:val="32"/>
          <w:szCs w:val="32"/>
        </w:rPr>
        <w:t>Level</w:t>
      </w:r>
    </w:p>
    <w:p w14:paraId="521185C6" w14:textId="7A1C4EF8" w:rsidR="00301410" w:rsidRDefault="00301410" w:rsidP="00746F88">
      <w:pPr>
        <w:spacing w:after="0" w:line="240" w:lineRule="auto"/>
        <w:rPr>
          <w:rFonts w:ascii="VIC" w:eastAsiaTheme="majorEastAsia" w:hAnsi="VIC" w:cstheme="majorBidi"/>
          <w:color w:val="0F4761" w:themeColor="accent1" w:themeShade="BF"/>
          <w:sz w:val="32"/>
          <w:szCs w:val="32"/>
        </w:rPr>
      </w:pPr>
    </w:p>
    <w:p w14:paraId="2526D284" w14:textId="55719108" w:rsidR="003D0B4A" w:rsidRDefault="003D0B4A" w:rsidP="003D0B4A">
      <w:pPr>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193AC8E3" w14:textId="408BD077" w:rsidR="00301410" w:rsidRPr="003D0B4A" w:rsidRDefault="00301410" w:rsidP="00301410">
      <w:pPr>
        <w:rPr>
          <w:rFonts w:ascii="VIC" w:hAnsi="VIC"/>
          <w:sz w:val="20"/>
          <w:szCs w:val="20"/>
        </w:rPr>
      </w:pPr>
      <w:r w:rsidRPr="003D0B4A">
        <w:rPr>
          <w:rFonts w:ascii="VIC" w:hAnsi="VIC"/>
          <w:sz w:val="20"/>
          <w:szCs w:val="20"/>
        </w:rPr>
        <w:t xml:space="preserve">Proof engineering is a process of independent review and formal certification that a structure, as documented, can be constructed safely and will meet the specified requirements. </w:t>
      </w:r>
    </w:p>
    <w:p w14:paraId="7F39591E" w14:textId="323EB5AC" w:rsidR="00301410" w:rsidRPr="003D0B4A" w:rsidRDefault="00301410" w:rsidP="00301410">
      <w:pPr>
        <w:rPr>
          <w:rFonts w:ascii="VIC" w:hAnsi="VIC"/>
          <w:sz w:val="20"/>
          <w:szCs w:val="20"/>
        </w:rPr>
      </w:pPr>
      <w:r w:rsidRPr="003D0B4A">
        <w:rPr>
          <w:rFonts w:ascii="VIC" w:hAnsi="VIC"/>
          <w:sz w:val="20"/>
          <w:szCs w:val="20"/>
        </w:rPr>
        <w:t xml:space="preserve">Prequalification is awarded to companies but is conditional on the nominated representatives of the company </w:t>
      </w:r>
      <w:r w:rsidR="00913F3E">
        <w:rPr>
          <w:rFonts w:ascii="VIC" w:hAnsi="VIC"/>
          <w:sz w:val="20"/>
          <w:szCs w:val="20"/>
        </w:rPr>
        <w:t xml:space="preserve">adhering to the requirements of the (DTP) VicRoads Proof Engineering Policy when </w:t>
      </w:r>
      <w:r w:rsidRPr="003D0B4A">
        <w:rPr>
          <w:rFonts w:ascii="VIC" w:hAnsi="VIC"/>
          <w:sz w:val="20"/>
          <w:szCs w:val="20"/>
        </w:rPr>
        <w:t xml:space="preserve">being directly </w:t>
      </w:r>
      <w:r w:rsidR="00913F3E">
        <w:rPr>
          <w:rFonts w:ascii="VIC" w:hAnsi="VIC"/>
          <w:sz w:val="20"/>
          <w:szCs w:val="20"/>
        </w:rPr>
        <w:t>engaged</w:t>
      </w:r>
      <w:r w:rsidRPr="003D0B4A">
        <w:rPr>
          <w:rFonts w:ascii="VIC" w:hAnsi="VIC"/>
          <w:sz w:val="20"/>
          <w:szCs w:val="20"/>
        </w:rPr>
        <w:t xml:space="preserve"> in the </w:t>
      </w:r>
      <w:r w:rsidR="00913F3E">
        <w:rPr>
          <w:rFonts w:ascii="VIC" w:hAnsi="VIC"/>
          <w:sz w:val="20"/>
          <w:szCs w:val="20"/>
        </w:rPr>
        <w:t xml:space="preserve">independent engineering review, </w:t>
      </w:r>
      <w:r w:rsidRPr="003D0B4A">
        <w:rPr>
          <w:rFonts w:ascii="VIC" w:hAnsi="VIC"/>
          <w:sz w:val="20"/>
          <w:szCs w:val="20"/>
        </w:rPr>
        <w:t>assessment</w:t>
      </w:r>
      <w:r w:rsidR="00913F3E">
        <w:rPr>
          <w:rFonts w:ascii="VIC" w:hAnsi="VIC"/>
          <w:sz w:val="20"/>
          <w:szCs w:val="20"/>
        </w:rPr>
        <w:t xml:space="preserve"> and certification of structural design documentation.</w:t>
      </w:r>
      <w:r w:rsidRPr="003D0B4A">
        <w:rPr>
          <w:rFonts w:ascii="VIC" w:hAnsi="VIC"/>
          <w:sz w:val="20"/>
          <w:szCs w:val="20"/>
        </w:rPr>
        <w:t xml:space="preserve"> </w:t>
      </w:r>
    </w:p>
    <w:p w14:paraId="561CDDFE" w14:textId="2ACC43A7" w:rsidR="00301410" w:rsidRDefault="00301410" w:rsidP="00301410">
      <w:pPr>
        <w:rPr>
          <w:rFonts w:ascii="VIC" w:hAnsi="VIC"/>
          <w:sz w:val="20"/>
          <w:szCs w:val="20"/>
        </w:rPr>
      </w:pPr>
      <w:r w:rsidRPr="003D0B4A">
        <w:rPr>
          <w:rFonts w:ascii="VIC" w:hAnsi="VIC"/>
          <w:sz w:val="20"/>
          <w:szCs w:val="20"/>
        </w:rPr>
        <w:t xml:space="preserve">Applications must nominate one or more individuals who will be directly involved in the review of the design and proposed construction method and issue of the </w:t>
      </w:r>
      <w:r w:rsidR="00913F3E">
        <w:rPr>
          <w:rFonts w:ascii="VIC" w:hAnsi="VIC"/>
          <w:sz w:val="20"/>
          <w:szCs w:val="20"/>
        </w:rPr>
        <w:t>Proof Engineering Certificate of Compliance – Structural</w:t>
      </w:r>
      <w:r w:rsidR="004B780A">
        <w:rPr>
          <w:rFonts w:ascii="VIC" w:hAnsi="VIC"/>
          <w:sz w:val="20"/>
          <w:szCs w:val="20"/>
        </w:rPr>
        <w:t xml:space="preserve"> provided this does not pertain to works carried out by the applicant’s parent company or any other subsidiary of that same parent company.</w:t>
      </w:r>
      <w:r w:rsidRPr="003D0B4A">
        <w:rPr>
          <w:rFonts w:ascii="VIC" w:hAnsi="VIC"/>
          <w:sz w:val="20"/>
          <w:szCs w:val="20"/>
        </w:rPr>
        <w:t xml:space="preserve"> </w:t>
      </w:r>
    </w:p>
    <w:p w14:paraId="0F9FEA24" w14:textId="1F6E1305" w:rsidR="00A33429" w:rsidRPr="003D0B4A" w:rsidRDefault="00A33429" w:rsidP="00301410">
      <w:pPr>
        <w:rPr>
          <w:rFonts w:ascii="VIC" w:hAnsi="VIC"/>
          <w:sz w:val="20"/>
          <w:szCs w:val="20"/>
        </w:rPr>
      </w:pPr>
      <w:r>
        <w:rPr>
          <w:rFonts w:ascii="VIC" w:hAnsi="VIC"/>
          <w:sz w:val="20"/>
          <w:szCs w:val="20"/>
        </w:rPr>
        <w:t>Note: Since prequalification of Proof Engineering Structures (PE) refers to prequalification of companies AND their nominated representatives, it follows that as soon as that nominated representative leaves the employ of the company, then the PE prequalification ceases to exist. If that individual were to join another company and wish</w:t>
      </w:r>
      <w:r w:rsidR="00D121FD">
        <w:rPr>
          <w:rFonts w:ascii="VIC" w:hAnsi="VIC"/>
          <w:sz w:val="20"/>
          <w:szCs w:val="20"/>
        </w:rPr>
        <w:t>es</w:t>
      </w:r>
      <w:r>
        <w:rPr>
          <w:rFonts w:ascii="VIC" w:hAnsi="VIC"/>
          <w:sz w:val="20"/>
          <w:szCs w:val="20"/>
        </w:rPr>
        <w:t xml:space="preserve"> to </w:t>
      </w:r>
      <w:r w:rsidR="00D121FD">
        <w:rPr>
          <w:rFonts w:ascii="VIC" w:hAnsi="VIC"/>
          <w:sz w:val="20"/>
          <w:szCs w:val="20"/>
        </w:rPr>
        <w:t>attain</w:t>
      </w:r>
      <w:r>
        <w:rPr>
          <w:rFonts w:ascii="VIC" w:hAnsi="VIC"/>
          <w:sz w:val="20"/>
          <w:szCs w:val="20"/>
        </w:rPr>
        <w:t xml:space="preserve"> PE prequalification, then a new application by the new company will need to be submitted.</w:t>
      </w:r>
    </w:p>
    <w:p w14:paraId="2B20F29A" w14:textId="54F4253D" w:rsidR="003D0B4A" w:rsidRDefault="003D0B4A" w:rsidP="003D0B4A">
      <w:pPr>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42473B04" w14:textId="5990EA00" w:rsidR="00301410" w:rsidRPr="003D0B4A" w:rsidRDefault="00301410" w:rsidP="00301410">
      <w:pPr>
        <w:rPr>
          <w:rFonts w:ascii="VIC" w:hAnsi="VIC"/>
          <w:sz w:val="20"/>
          <w:szCs w:val="20"/>
        </w:rPr>
      </w:pPr>
      <w:r w:rsidRPr="003D0B4A">
        <w:rPr>
          <w:rFonts w:ascii="VIC" w:hAnsi="VIC"/>
          <w:sz w:val="20"/>
          <w:szCs w:val="20"/>
        </w:rPr>
        <w:t xml:space="preserve">Applications </w:t>
      </w:r>
      <w:r w:rsidR="00D121FD">
        <w:rPr>
          <w:rFonts w:ascii="VIC" w:hAnsi="VIC"/>
          <w:sz w:val="20"/>
          <w:szCs w:val="20"/>
        </w:rPr>
        <w:t>from</w:t>
      </w:r>
      <w:r w:rsidRPr="003D0B4A">
        <w:rPr>
          <w:rFonts w:ascii="VIC" w:hAnsi="VIC"/>
          <w:sz w:val="20"/>
          <w:szCs w:val="20"/>
        </w:rPr>
        <w:t xml:space="preserve"> nominated representatives must demonstrate the following </w:t>
      </w:r>
      <w:r w:rsidR="00D121FD">
        <w:rPr>
          <w:rFonts w:ascii="VIC" w:hAnsi="VIC"/>
          <w:sz w:val="20"/>
          <w:szCs w:val="20"/>
        </w:rPr>
        <w:t>A</w:t>
      </w:r>
      <w:r w:rsidRPr="003D0B4A">
        <w:rPr>
          <w:rFonts w:ascii="VIC" w:hAnsi="VIC"/>
          <w:sz w:val="20"/>
          <w:szCs w:val="20"/>
        </w:rPr>
        <w:t xml:space="preserve">reas of </w:t>
      </w:r>
      <w:r w:rsidR="00D121FD">
        <w:rPr>
          <w:rFonts w:ascii="VIC" w:hAnsi="VIC"/>
          <w:sz w:val="20"/>
          <w:szCs w:val="20"/>
        </w:rPr>
        <w:t>C</w:t>
      </w:r>
      <w:r w:rsidRPr="003D0B4A">
        <w:rPr>
          <w:rFonts w:ascii="VIC" w:hAnsi="VIC"/>
          <w:sz w:val="20"/>
          <w:szCs w:val="20"/>
        </w:rPr>
        <w:t>ompetency:</w:t>
      </w:r>
    </w:p>
    <w:p w14:paraId="41AFEECE" w14:textId="435DED8B" w:rsidR="00301410" w:rsidRPr="00EF4744" w:rsidRDefault="003C73EC" w:rsidP="00EF4744">
      <w:pPr>
        <w:pStyle w:val="ListParagraph"/>
        <w:numPr>
          <w:ilvl w:val="0"/>
          <w:numId w:val="15"/>
        </w:numPr>
        <w:rPr>
          <w:rFonts w:ascii="VIC" w:hAnsi="VIC"/>
          <w:sz w:val="20"/>
          <w:szCs w:val="20"/>
        </w:rPr>
      </w:pPr>
      <w:r w:rsidRPr="00EF4744">
        <w:rPr>
          <w:rFonts w:ascii="VIC" w:hAnsi="VIC"/>
          <w:sz w:val="20"/>
          <w:szCs w:val="20"/>
        </w:rPr>
        <w:t>Minimum 15</w:t>
      </w:r>
      <w:r w:rsidR="00301410" w:rsidRPr="00EF4744">
        <w:rPr>
          <w:rFonts w:ascii="VIC" w:hAnsi="VIC"/>
          <w:sz w:val="20"/>
          <w:szCs w:val="20"/>
        </w:rPr>
        <w:t xml:space="preserve"> years of </w:t>
      </w:r>
      <w:r w:rsidRPr="00EF4744">
        <w:rPr>
          <w:rFonts w:ascii="VIC" w:hAnsi="VIC"/>
          <w:sz w:val="20"/>
          <w:szCs w:val="20"/>
        </w:rPr>
        <w:t xml:space="preserve">hands-on structural detailed design </w:t>
      </w:r>
      <w:r w:rsidR="00301410" w:rsidRPr="00EF4744">
        <w:rPr>
          <w:rFonts w:ascii="VIC" w:hAnsi="VIC"/>
          <w:sz w:val="20"/>
          <w:szCs w:val="20"/>
        </w:rPr>
        <w:t xml:space="preserve">experience </w:t>
      </w:r>
      <w:r w:rsidR="00EF4744" w:rsidRPr="008B1E6C">
        <w:rPr>
          <w:rFonts w:ascii="VIC" w:hAnsi="VIC"/>
          <w:sz w:val="20"/>
          <w:szCs w:val="20"/>
        </w:rPr>
        <w:t xml:space="preserve">(10 years minimum </w:t>
      </w:r>
      <w:r w:rsidR="00EF4744" w:rsidRPr="00A35134">
        <w:rPr>
          <w:rFonts w:ascii="VIC" w:hAnsi="VIC"/>
          <w:sz w:val="20"/>
          <w:szCs w:val="20"/>
        </w:rPr>
        <w:t xml:space="preserve">designing to AS5100, with maximum </w:t>
      </w:r>
      <w:r w:rsidR="00EF4744" w:rsidRPr="008B1E6C">
        <w:rPr>
          <w:rFonts w:ascii="VIC" w:hAnsi="VIC"/>
          <w:sz w:val="20"/>
          <w:szCs w:val="20"/>
        </w:rPr>
        <w:t>5 years designing to other overseas standards)</w:t>
      </w:r>
      <w:r w:rsidR="00EF4744" w:rsidRPr="00EF4744">
        <w:rPr>
          <w:rFonts w:ascii="VIC" w:hAnsi="VIC"/>
          <w:sz w:val="20"/>
          <w:szCs w:val="20"/>
        </w:rPr>
        <w:t xml:space="preserve"> </w:t>
      </w:r>
      <w:r w:rsidR="00301410" w:rsidRPr="00EF4744">
        <w:rPr>
          <w:rFonts w:ascii="VIC" w:hAnsi="VIC"/>
          <w:sz w:val="20"/>
          <w:szCs w:val="20"/>
        </w:rPr>
        <w:t xml:space="preserve">with primary responsibility </w:t>
      </w:r>
      <w:r w:rsidRPr="00EF4744">
        <w:rPr>
          <w:rFonts w:ascii="VIC" w:hAnsi="VIC"/>
          <w:sz w:val="20"/>
          <w:szCs w:val="20"/>
        </w:rPr>
        <w:t>of</w:t>
      </w:r>
      <w:r w:rsidR="00301410" w:rsidRPr="00EF4744">
        <w:rPr>
          <w:rFonts w:ascii="VIC" w:hAnsi="VIC"/>
          <w:sz w:val="20"/>
          <w:szCs w:val="20"/>
        </w:rPr>
        <w:t xml:space="preserve"> undertaking structural engineering design and analysis </w:t>
      </w:r>
      <w:r w:rsidR="00EF4744" w:rsidRPr="00EF4744">
        <w:rPr>
          <w:rFonts w:ascii="VIC" w:hAnsi="VIC"/>
          <w:sz w:val="20"/>
          <w:szCs w:val="20"/>
        </w:rPr>
        <w:t>(</w:t>
      </w:r>
      <w:r w:rsidR="00EF4744">
        <w:rPr>
          <w:rFonts w:ascii="VIC" w:hAnsi="VIC"/>
          <w:sz w:val="20"/>
          <w:szCs w:val="20"/>
        </w:rPr>
        <w:t>excluding</w:t>
      </w:r>
      <w:r w:rsidR="00EF4744" w:rsidRPr="00EF4744">
        <w:rPr>
          <w:rFonts w:ascii="VIC" w:hAnsi="VIC"/>
          <w:sz w:val="20"/>
          <w:szCs w:val="20"/>
        </w:rPr>
        <w:t xml:space="preserve"> </w:t>
      </w:r>
      <w:r w:rsidR="00EF4744" w:rsidRPr="008B1E6C">
        <w:rPr>
          <w:rFonts w:ascii="VIC" w:hAnsi="VIC"/>
          <w:sz w:val="20"/>
          <w:szCs w:val="20"/>
        </w:rPr>
        <w:t>any time spent in non-practical and/or non-design positions</w:t>
      </w:r>
      <w:r w:rsidR="00EF4744">
        <w:rPr>
          <w:rFonts w:ascii="VIC" w:hAnsi="VIC"/>
          <w:sz w:val="20"/>
          <w:szCs w:val="20"/>
        </w:rPr>
        <w:t xml:space="preserve"> e.g. </w:t>
      </w:r>
      <w:r w:rsidR="00EF4744" w:rsidRPr="008B1E6C">
        <w:rPr>
          <w:rFonts w:ascii="VIC" w:hAnsi="VIC"/>
          <w:sz w:val="20"/>
          <w:szCs w:val="20"/>
        </w:rPr>
        <w:t>time spent in academia, construction, business management, etc.</w:t>
      </w:r>
      <w:r w:rsidR="00EF4744" w:rsidRPr="00EF4744">
        <w:rPr>
          <w:rFonts w:ascii="VIC" w:hAnsi="VIC"/>
          <w:sz w:val="20"/>
          <w:szCs w:val="20"/>
        </w:rPr>
        <w:t xml:space="preserve"> cannot be considered)</w:t>
      </w:r>
      <w:r w:rsidR="00EF4744">
        <w:rPr>
          <w:rFonts w:ascii="VIC" w:hAnsi="VIC"/>
          <w:sz w:val="20"/>
          <w:szCs w:val="20"/>
        </w:rPr>
        <w:t xml:space="preserve"> </w:t>
      </w:r>
      <w:r w:rsidR="00301410" w:rsidRPr="00EF4744">
        <w:rPr>
          <w:rFonts w:ascii="VIC" w:hAnsi="VIC"/>
          <w:sz w:val="20"/>
          <w:szCs w:val="20"/>
        </w:rPr>
        <w:t xml:space="preserve">of </w:t>
      </w:r>
      <w:r w:rsidRPr="00EF4744">
        <w:rPr>
          <w:rFonts w:ascii="VIC" w:hAnsi="VIC"/>
          <w:sz w:val="20"/>
          <w:szCs w:val="20"/>
        </w:rPr>
        <w:t xml:space="preserve">the following structure types as </w:t>
      </w:r>
      <w:r w:rsidR="00A33429" w:rsidRPr="00EF4744">
        <w:rPr>
          <w:rFonts w:ascii="VIC" w:hAnsi="VIC"/>
          <w:sz w:val="20"/>
          <w:szCs w:val="20"/>
        </w:rPr>
        <w:t>listed in the table below</w:t>
      </w:r>
      <w:r w:rsidR="00301410" w:rsidRPr="00EF4744">
        <w:rPr>
          <w:rFonts w:ascii="VIC" w:hAnsi="VIC"/>
          <w:sz w:val="20"/>
          <w:szCs w:val="20"/>
        </w:rPr>
        <w:t>:</w:t>
      </w:r>
    </w:p>
    <w:p w14:paraId="15693353" w14:textId="77777777" w:rsidR="00301410" w:rsidRPr="003D0B4A" w:rsidRDefault="00301410" w:rsidP="00301410">
      <w:pPr>
        <w:pStyle w:val="ListParagraph"/>
        <w:rPr>
          <w:rFonts w:ascii="VIC" w:hAnsi="VIC"/>
        </w:rPr>
      </w:pPr>
    </w:p>
    <w:tbl>
      <w:tblPr>
        <w:tblStyle w:val="TableGrid"/>
        <w:tblW w:w="0" w:type="auto"/>
        <w:tblInd w:w="720" w:type="dxa"/>
        <w:tblLook w:val="04A0" w:firstRow="1" w:lastRow="0" w:firstColumn="1" w:lastColumn="0" w:noHBand="0" w:noVBand="1"/>
      </w:tblPr>
      <w:tblGrid>
        <w:gridCol w:w="2961"/>
        <w:gridCol w:w="5335"/>
      </w:tblGrid>
      <w:tr w:rsidR="00301410" w:rsidRPr="003D0B4A" w14:paraId="4EC4B9A0" w14:textId="77777777" w:rsidTr="0031576A">
        <w:tc>
          <w:tcPr>
            <w:tcW w:w="2961" w:type="dxa"/>
            <w:vMerge w:val="restart"/>
          </w:tcPr>
          <w:p w14:paraId="7FE2AC7F" w14:textId="77777777" w:rsidR="00301410" w:rsidRPr="003D0B4A" w:rsidRDefault="00301410" w:rsidP="0024336E">
            <w:pPr>
              <w:pStyle w:val="ListParagraph"/>
              <w:ind w:left="0"/>
              <w:rPr>
                <w:rFonts w:ascii="VIC" w:hAnsi="VIC"/>
                <w:sz w:val="18"/>
                <w:szCs w:val="18"/>
              </w:rPr>
            </w:pPr>
            <w:bookmarkStart w:id="1" w:name="_Hlk190809414"/>
            <w:r w:rsidRPr="003D0B4A">
              <w:rPr>
                <w:rFonts w:ascii="VIC" w:hAnsi="VIC"/>
                <w:sz w:val="18"/>
                <w:szCs w:val="18"/>
              </w:rPr>
              <w:t xml:space="preserve">1.Bridges over freeways, large waterways and railways with spans </w:t>
            </w:r>
            <w:proofErr w:type="gramStart"/>
            <w:r w:rsidRPr="003D0B4A">
              <w:rPr>
                <w:rFonts w:ascii="VIC" w:hAnsi="VIC"/>
                <w:sz w:val="18"/>
                <w:szCs w:val="18"/>
              </w:rPr>
              <w:t>in excess of</w:t>
            </w:r>
            <w:proofErr w:type="gramEnd"/>
            <w:r w:rsidRPr="003D0B4A">
              <w:rPr>
                <w:rFonts w:ascii="VIC" w:hAnsi="VIC"/>
                <w:sz w:val="18"/>
                <w:szCs w:val="18"/>
              </w:rPr>
              <w:t xml:space="preserve"> 20 metres</w:t>
            </w:r>
            <w:bookmarkEnd w:id="1"/>
          </w:p>
        </w:tc>
        <w:tc>
          <w:tcPr>
            <w:tcW w:w="5335" w:type="dxa"/>
          </w:tcPr>
          <w:p w14:paraId="360090EE" w14:textId="77777777" w:rsidR="00301410" w:rsidRPr="003D0B4A" w:rsidRDefault="00301410" w:rsidP="0024336E">
            <w:pPr>
              <w:pStyle w:val="ListParagraph"/>
              <w:ind w:left="0"/>
              <w:rPr>
                <w:rFonts w:ascii="VIC" w:hAnsi="VIC"/>
                <w:sz w:val="18"/>
                <w:szCs w:val="18"/>
              </w:rPr>
            </w:pPr>
            <w:r w:rsidRPr="003D0B4A">
              <w:rPr>
                <w:rFonts w:ascii="VIC" w:hAnsi="VIC"/>
                <w:sz w:val="18"/>
                <w:szCs w:val="18"/>
              </w:rPr>
              <w:t>Bridges with prestressed concrete beams</w:t>
            </w:r>
          </w:p>
        </w:tc>
      </w:tr>
      <w:tr w:rsidR="00301410" w:rsidRPr="003D0B4A" w14:paraId="273900FF" w14:textId="77777777" w:rsidTr="0031576A">
        <w:tc>
          <w:tcPr>
            <w:tcW w:w="2961" w:type="dxa"/>
            <w:vMerge/>
          </w:tcPr>
          <w:p w14:paraId="6C120DAF" w14:textId="77777777" w:rsidR="00301410" w:rsidRPr="003D0B4A" w:rsidRDefault="00301410" w:rsidP="0024336E">
            <w:pPr>
              <w:pStyle w:val="ListParagraph"/>
              <w:ind w:left="0"/>
              <w:rPr>
                <w:rFonts w:ascii="VIC" w:hAnsi="VIC"/>
                <w:sz w:val="18"/>
                <w:szCs w:val="18"/>
              </w:rPr>
            </w:pPr>
          </w:p>
        </w:tc>
        <w:tc>
          <w:tcPr>
            <w:tcW w:w="5335" w:type="dxa"/>
          </w:tcPr>
          <w:p w14:paraId="0BA3D542" w14:textId="4CE0A3F5" w:rsidR="00301410" w:rsidRPr="003D0B4A" w:rsidRDefault="00301410" w:rsidP="0024336E">
            <w:pPr>
              <w:pStyle w:val="ListParagraph"/>
              <w:ind w:left="0"/>
              <w:rPr>
                <w:rFonts w:ascii="VIC" w:hAnsi="VIC"/>
                <w:sz w:val="18"/>
                <w:szCs w:val="18"/>
              </w:rPr>
            </w:pPr>
            <w:r w:rsidRPr="003D0B4A">
              <w:rPr>
                <w:rFonts w:ascii="VIC" w:hAnsi="VIC"/>
                <w:sz w:val="18"/>
                <w:szCs w:val="18"/>
              </w:rPr>
              <w:t xml:space="preserve">Bridges with box girders (concrete </w:t>
            </w:r>
            <w:r w:rsidR="00A33429">
              <w:rPr>
                <w:rFonts w:ascii="VIC" w:hAnsi="VIC"/>
                <w:sz w:val="18"/>
                <w:szCs w:val="18"/>
              </w:rPr>
              <w:t>and</w:t>
            </w:r>
            <w:r w:rsidRPr="003D0B4A">
              <w:rPr>
                <w:rFonts w:ascii="VIC" w:hAnsi="VIC"/>
                <w:sz w:val="18"/>
                <w:szCs w:val="18"/>
              </w:rPr>
              <w:t>/or steel)</w:t>
            </w:r>
          </w:p>
        </w:tc>
      </w:tr>
      <w:tr w:rsidR="00301410" w:rsidRPr="003D0B4A" w14:paraId="4BFC6CFB" w14:textId="77777777" w:rsidTr="0031576A">
        <w:tc>
          <w:tcPr>
            <w:tcW w:w="2961" w:type="dxa"/>
            <w:vMerge/>
          </w:tcPr>
          <w:p w14:paraId="50E7FD12" w14:textId="77777777" w:rsidR="00301410" w:rsidRPr="003D0B4A" w:rsidRDefault="00301410" w:rsidP="0024336E">
            <w:pPr>
              <w:pStyle w:val="ListParagraph"/>
              <w:ind w:left="0"/>
              <w:rPr>
                <w:rFonts w:ascii="VIC" w:hAnsi="VIC"/>
                <w:sz w:val="18"/>
                <w:szCs w:val="18"/>
              </w:rPr>
            </w:pPr>
          </w:p>
        </w:tc>
        <w:tc>
          <w:tcPr>
            <w:tcW w:w="5335" w:type="dxa"/>
          </w:tcPr>
          <w:p w14:paraId="6EE46B7C" w14:textId="77777777" w:rsidR="00301410" w:rsidRPr="003D0B4A" w:rsidRDefault="00301410" w:rsidP="0024336E">
            <w:pPr>
              <w:pStyle w:val="ListParagraph"/>
              <w:ind w:left="0"/>
              <w:rPr>
                <w:rFonts w:ascii="VIC" w:hAnsi="VIC"/>
                <w:sz w:val="18"/>
                <w:szCs w:val="18"/>
              </w:rPr>
            </w:pPr>
            <w:r w:rsidRPr="003D0B4A">
              <w:rPr>
                <w:rFonts w:ascii="VIC" w:hAnsi="VIC"/>
                <w:sz w:val="18"/>
                <w:szCs w:val="18"/>
              </w:rPr>
              <w:t>Bridges with welded steel plate girders</w:t>
            </w:r>
          </w:p>
        </w:tc>
      </w:tr>
      <w:tr w:rsidR="00301410" w:rsidRPr="003D0B4A" w14:paraId="7A4FF0F6" w14:textId="77777777" w:rsidTr="0031576A">
        <w:tc>
          <w:tcPr>
            <w:tcW w:w="2961" w:type="dxa"/>
            <w:vMerge/>
          </w:tcPr>
          <w:p w14:paraId="2DEDB99E" w14:textId="77777777" w:rsidR="00301410" w:rsidRPr="003D0B4A" w:rsidRDefault="00301410" w:rsidP="0024336E">
            <w:pPr>
              <w:pStyle w:val="ListParagraph"/>
              <w:ind w:left="0"/>
              <w:rPr>
                <w:rFonts w:ascii="VIC" w:hAnsi="VIC"/>
                <w:sz w:val="18"/>
                <w:szCs w:val="18"/>
              </w:rPr>
            </w:pPr>
          </w:p>
        </w:tc>
        <w:tc>
          <w:tcPr>
            <w:tcW w:w="5335" w:type="dxa"/>
          </w:tcPr>
          <w:p w14:paraId="13F6B379" w14:textId="60FED900" w:rsidR="00301410" w:rsidRPr="003D0B4A" w:rsidRDefault="00301410" w:rsidP="0024336E">
            <w:pPr>
              <w:pStyle w:val="ListParagraph"/>
              <w:ind w:left="0"/>
              <w:rPr>
                <w:rFonts w:ascii="VIC" w:hAnsi="VIC"/>
                <w:sz w:val="18"/>
                <w:szCs w:val="18"/>
              </w:rPr>
            </w:pPr>
            <w:r w:rsidRPr="003D0B4A">
              <w:rPr>
                <w:rFonts w:ascii="VIC" w:hAnsi="VIC"/>
                <w:sz w:val="18"/>
                <w:szCs w:val="18"/>
              </w:rPr>
              <w:t xml:space="preserve">Bridge widenings </w:t>
            </w:r>
            <w:r w:rsidR="00A33429">
              <w:rPr>
                <w:rFonts w:ascii="VIC" w:hAnsi="VIC"/>
                <w:sz w:val="18"/>
                <w:szCs w:val="18"/>
              </w:rPr>
              <w:t>and</w:t>
            </w:r>
            <w:r w:rsidRPr="003D0B4A">
              <w:rPr>
                <w:rFonts w:ascii="VIC" w:hAnsi="VIC"/>
                <w:sz w:val="18"/>
                <w:szCs w:val="18"/>
              </w:rPr>
              <w:t>/or strengthening</w:t>
            </w:r>
          </w:p>
        </w:tc>
      </w:tr>
      <w:tr w:rsidR="00301410" w:rsidRPr="003D0B4A" w14:paraId="091E1954" w14:textId="77777777" w:rsidTr="0031576A">
        <w:tc>
          <w:tcPr>
            <w:tcW w:w="2961" w:type="dxa"/>
            <w:vMerge w:val="restart"/>
          </w:tcPr>
          <w:p w14:paraId="67DBFC8F" w14:textId="77777777" w:rsidR="00301410" w:rsidRPr="003D0B4A" w:rsidRDefault="00301410" w:rsidP="0024336E">
            <w:pPr>
              <w:rPr>
                <w:rFonts w:ascii="VIC" w:hAnsi="VIC"/>
                <w:sz w:val="18"/>
                <w:szCs w:val="18"/>
              </w:rPr>
            </w:pPr>
            <w:r w:rsidRPr="003D0B4A">
              <w:rPr>
                <w:rFonts w:ascii="VIC" w:hAnsi="VIC"/>
                <w:sz w:val="18"/>
                <w:szCs w:val="18"/>
              </w:rPr>
              <w:t>2. Specialised Structures</w:t>
            </w:r>
          </w:p>
        </w:tc>
        <w:tc>
          <w:tcPr>
            <w:tcW w:w="5335" w:type="dxa"/>
          </w:tcPr>
          <w:p w14:paraId="7D74E910" w14:textId="1193A141" w:rsidR="00301410" w:rsidRPr="003D0B4A" w:rsidRDefault="00301410" w:rsidP="0024336E">
            <w:pPr>
              <w:pStyle w:val="ListParagraph"/>
              <w:ind w:left="0"/>
              <w:rPr>
                <w:rFonts w:ascii="VIC" w:hAnsi="VIC"/>
                <w:sz w:val="18"/>
                <w:szCs w:val="18"/>
              </w:rPr>
            </w:pPr>
            <w:r w:rsidRPr="003D0B4A">
              <w:rPr>
                <w:rFonts w:ascii="VIC" w:hAnsi="VIC"/>
                <w:sz w:val="18"/>
                <w:szCs w:val="18"/>
              </w:rPr>
              <w:t xml:space="preserve">Cable-stayed </w:t>
            </w:r>
            <w:r w:rsidR="00A33429">
              <w:rPr>
                <w:rFonts w:ascii="VIC" w:hAnsi="VIC"/>
                <w:sz w:val="18"/>
                <w:szCs w:val="18"/>
              </w:rPr>
              <w:t>and</w:t>
            </w:r>
            <w:r w:rsidRPr="003D0B4A">
              <w:rPr>
                <w:rFonts w:ascii="VIC" w:hAnsi="VIC"/>
                <w:sz w:val="18"/>
                <w:szCs w:val="18"/>
              </w:rPr>
              <w:t xml:space="preserve">/or suspension </w:t>
            </w:r>
            <w:r w:rsidR="00A33429">
              <w:rPr>
                <w:rFonts w:ascii="VIC" w:hAnsi="VIC"/>
                <w:sz w:val="18"/>
                <w:szCs w:val="18"/>
              </w:rPr>
              <w:t>and</w:t>
            </w:r>
            <w:r w:rsidRPr="003D0B4A">
              <w:rPr>
                <w:rFonts w:ascii="VIC" w:hAnsi="VIC"/>
                <w:sz w:val="18"/>
                <w:szCs w:val="18"/>
              </w:rPr>
              <w:t xml:space="preserve">/or arched </w:t>
            </w:r>
            <w:r w:rsidR="00A33429">
              <w:rPr>
                <w:rFonts w:ascii="VIC" w:hAnsi="VIC"/>
                <w:sz w:val="18"/>
                <w:szCs w:val="18"/>
              </w:rPr>
              <w:t>and</w:t>
            </w:r>
            <w:r w:rsidRPr="003D0B4A">
              <w:rPr>
                <w:rFonts w:ascii="VIC" w:hAnsi="VIC"/>
                <w:sz w:val="18"/>
                <w:szCs w:val="18"/>
              </w:rPr>
              <w:t>/or truss bridge</w:t>
            </w:r>
            <w:r w:rsidR="00A33429">
              <w:rPr>
                <w:rFonts w:ascii="VIC" w:hAnsi="VIC"/>
                <w:sz w:val="18"/>
                <w:szCs w:val="18"/>
              </w:rPr>
              <w:t>s</w:t>
            </w:r>
          </w:p>
        </w:tc>
      </w:tr>
      <w:tr w:rsidR="00301410" w:rsidRPr="003D0B4A" w14:paraId="13273D31" w14:textId="77777777" w:rsidTr="0031576A">
        <w:tc>
          <w:tcPr>
            <w:tcW w:w="2961" w:type="dxa"/>
            <w:vMerge/>
          </w:tcPr>
          <w:p w14:paraId="62BE7192" w14:textId="77777777" w:rsidR="00301410" w:rsidRPr="003D0B4A" w:rsidRDefault="00301410" w:rsidP="0024336E">
            <w:pPr>
              <w:rPr>
                <w:rFonts w:ascii="VIC" w:hAnsi="VIC"/>
                <w:sz w:val="18"/>
                <w:szCs w:val="18"/>
              </w:rPr>
            </w:pPr>
          </w:p>
        </w:tc>
        <w:tc>
          <w:tcPr>
            <w:tcW w:w="5335" w:type="dxa"/>
          </w:tcPr>
          <w:p w14:paraId="3F17E7DF" w14:textId="33DBEFB6" w:rsidR="00301410" w:rsidRPr="003D0B4A" w:rsidRDefault="00301410" w:rsidP="0024336E">
            <w:pPr>
              <w:pStyle w:val="ListParagraph"/>
              <w:ind w:left="0"/>
              <w:rPr>
                <w:rFonts w:ascii="VIC" w:hAnsi="VIC"/>
                <w:sz w:val="18"/>
                <w:szCs w:val="18"/>
              </w:rPr>
            </w:pPr>
            <w:r w:rsidRPr="003D0B4A">
              <w:rPr>
                <w:rFonts w:ascii="VIC" w:hAnsi="VIC"/>
                <w:sz w:val="18"/>
                <w:szCs w:val="18"/>
              </w:rPr>
              <w:t xml:space="preserve">Construction design support (structural assessment of balanced cantilever </w:t>
            </w:r>
            <w:r w:rsidR="00A33429">
              <w:rPr>
                <w:rFonts w:ascii="VIC" w:hAnsi="VIC"/>
                <w:sz w:val="18"/>
                <w:szCs w:val="18"/>
              </w:rPr>
              <w:t>and</w:t>
            </w:r>
            <w:r w:rsidRPr="003D0B4A">
              <w:rPr>
                <w:rFonts w:ascii="VIC" w:hAnsi="VIC"/>
                <w:sz w:val="18"/>
                <w:szCs w:val="18"/>
              </w:rPr>
              <w:t xml:space="preserve">/or segmental </w:t>
            </w:r>
            <w:r w:rsidR="00A33429">
              <w:rPr>
                <w:rFonts w:ascii="VIC" w:hAnsi="VIC"/>
                <w:sz w:val="18"/>
                <w:szCs w:val="18"/>
              </w:rPr>
              <w:t>and</w:t>
            </w:r>
            <w:r w:rsidRPr="003D0B4A">
              <w:rPr>
                <w:rFonts w:ascii="VIC" w:hAnsi="VIC"/>
                <w:sz w:val="18"/>
                <w:szCs w:val="18"/>
              </w:rPr>
              <w:t xml:space="preserve">/or incrementally launched bridges during erection) </w:t>
            </w:r>
            <w:r w:rsidR="00A33429">
              <w:rPr>
                <w:rFonts w:ascii="VIC" w:hAnsi="VIC"/>
                <w:sz w:val="18"/>
                <w:szCs w:val="18"/>
              </w:rPr>
              <w:t>and</w:t>
            </w:r>
            <w:r w:rsidRPr="003D0B4A">
              <w:rPr>
                <w:rFonts w:ascii="VIC" w:hAnsi="VIC"/>
                <w:sz w:val="18"/>
                <w:szCs w:val="18"/>
              </w:rPr>
              <w:t>/or Temporary Works (structural design of formwork &amp; falsework to facilitate construction of bridges)</w:t>
            </w:r>
          </w:p>
        </w:tc>
      </w:tr>
      <w:tr w:rsidR="00301410" w:rsidRPr="003D0B4A" w14:paraId="47113EF3" w14:textId="77777777" w:rsidTr="0031576A">
        <w:tc>
          <w:tcPr>
            <w:tcW w:w="2961" w:type="dxa"/>
            <w:vMerge/>
          </w:tcPr>
          <w:p w14:paraId="636338D8" w14:textId="77777777" w:rsidR="00301410" w:rsidRPr="003D0B4A" w:rsidRDefault="00301410" w:rsidP="0024336E">
            <w:pPr>
              <w:rPr>
                <w:rFonts w:ascii="VIC" w:hAnsi="VIC"/>
                <w:sz w:val="18"/>
                <w:szCs w:val="18"/>
              </w:rPr>
            </w:pPr>
          </w:p>
        </w:tc>
        <w:tc>
          <w:tcPr>
            <w:tcW w:w="5335" w:type="dxa"/>
          </w:tcPr>
          <w:p w14:paraId="7088B193" w14:textId="541642F8" w:rsidR="00301410" w:rsidRPr="003D0B4A" w:rsidRDefault="00301410" w:rsidP="0024336E">
            <w:pPr>
              <w:pStyle w:val="ListParagraph"/>
              <w:ind w:left="0"/>
              <w:rPr>
                <w:rFonts w:ascii="VIC" w:hAnsi="VIC"/>
                <w:sz w:val="18"/>
                <w:szCs w:val="18"/>
              </w:rPr>
            </w:pPr>
            <w:r w:rsidRPr="003D0B4A">
              <w:rPr>
                <w:rFonts w:ascii="VIC" w:hAnsi="VIC"/>
                <w:sz w:val="18"/>
                <w:szCs w:val="18"/>
              </w:rPr>
              <w:t xml:space="preserve">Gantries </w:t>
            </w:r>
            <w:r w:rsidR="00A33429">
              <w:rPr>
                <w:rFonts w:ascii="VIC" w:hAnsi="VIC"/>
                <w:sz w:val="18"/>
                <w:szCs w:val="18"/>
              </w:rPr>
              <w:t>and</w:t>
            </w:r>
            <w:r w:rsidRPr="003D0B4A">
              <w:rPr>
                <w:rFonts w:ascii="VIC" w:hAnsi="VIC"/>
                <w:sz w:val="18"/>
                <w:szCs w:val="18"/>
              </w:rPr>
              <w:t xml:space="preserve">/or cantilever signs </w:t>
            </w:r>
            <w:r w:rsidR="00A33429">
              <w:rPr>
                <w:rFonts w:ascii="VIC" w:hAnsi="VIC"/>
                <w:sz w:val="18"/>
                <w:szCs w:val="18"/>
              </w:rPr>
              <w:t>and</w:t>
            </w:r>
            <w:r w:rsidRPr="003D0B4A">
              <w:rPr>
                <w:rFonts w:ascii="VIC" w:hAnsi="VIC"/>
                <w:sz w:val="18"/>
                <w:szCs w:val="18"/>
              </w:rPr>
              <w:t>/or high-mast lighting (standalone permanent structures only)</w:t>
            </w:r>
          </w:p>
        </w:tc>
      </w:tr>
      <w:tr w:rsidR="0031576A" w:rsidRPr="003D0B4A" w14:paraId="0EDB5E17" w14:textId="77777777" w:rsidTr="0031576A">
        <w:tc>
          <w:tcPr>
            <w:tcW w:w="2961" w:type="dxa"/>
          </w:tcPr>
          <w:p w14:paraId="17AE1FDD" w14:textId="77777777" w:rsidR="0031576A" w:rsidRPr="003D0B4A" w:rsidRDefault="0031576A" w:rsidP="0024336E">
            <w:pPr>
              <w:rPr>
                <w:rFonts w:ascii="VIC" w:hAnsi="VIC"/>
                <w:sz w:val="18"/>
                <w:szCs w:val="18"/>
              </w:rPr>
            </w:pPr>
          </w:p>
        </w:tc>
        <w:tc>
          <w:tcPr>
            <w:tcW w:w="5335" w:type="dxa"/>
          </w:tcPr>
          <w:p w14:paraId="0E091E48" w14:textId="77777777" w:rsidR="0031576A" w:rsidRPr="003D0B4A" w:rsidRDefault="0031576A" w:rsidP="0024336E">
            <w:pPr>
              <w:pStyle w:val="ListParagraph"/>
              <w:ind w:left="0"/>
              <w:rPr>
                <w:rFonts w:ascii="VIC" w:hAnsi="VIC"/>
                <w:sz w:val="18"/>
                <w:szCs w:val="18"/>
              </w:rPr>
            </w:pPr>
          </w:p>
        </w:tc>
      </w:tr>
    </w:tbl>
    <w:p w14:paraId="7BA8D581" w14:textId="77777777" w:rsidR="00301410" w:rsidRDefault="00301410" w:rsidP="00301410">
      <w:pPr>
        <w:pStyle w:val="ListParagraph"/>
        <w:rPr>
          <w:rFonts w:ascii="VIC" w:hAnsi="VIC"/>
        </w:rPr>
      </w:pPr>
    </w:p>
    <w:p w14:paraId="66CF1E64" w14:textId="77777777" w:rsidR="0031576A" w:rsidRPr="003D0B4A" w:rsidRDefault="0031576A" w:rsidP="00301410">
      <w:pPr>
        <w:pStyle w:val="ListParagraph"/>
        <w:rPr>
          <w:rFonts w:ascii="VIC" w:hAnsi="VIC"/>
        </w:rPr>
      </w:pPr>
    </w:p>
    <w:p w14:paraId="17139EEA" w14:textId="77777777" w:rsidR="00301410" w:rsidRPr="003D0B4A" w:rsidRDefault="00301410" w:rsidP="00301410">
      <w:pPr>
        <w:pStyle w:val="ListParagraph"/>
        <w:rPr>
          <w:rFonts w:ascii="VIC" w:hAnsi="VIC"/>
          <w:sz w:val="20"/>
          <w:szCs w:val="20"/>
        </w:rPr>
      </w:pPr>
    </w:p>
    <w:p w14:paraId="6112579F" w14:textId="77777777" w:rsidR="00301410" w:rsidRPr="003D0B4A" w:rsidRDefault="00301410" w:rsidP="003D0B4A">
      <w:pPr>
        <w:rPr>
          <w:rFonts w:ascii="VIC" w:eastAsiaTheme="majorEastAsia" w:hAnsi="VIC" w:cstheme="majorBidi"/>
          <w:color w:val="0F4761" w:themeColor="accent1" w:themeShade="BF"/>
          <w:sz w:val="32"/>
          <w:szCs w:val="32"/>
        </w:rPr>
      </w:pPr>
    </w:p>
    <w:p w14:paraId="3C18224F" w14:textId="686174DB"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639FE80A" w14:textId="7987774A" w:rsidR="00771F32" w:rsidRPr="003D0B4A" w:rsidRDefault="00301410" w:rsidP="00301410">
      <w:pPr>
        <w:rPr>
          <w:rFonts w:ascii="VIC" w:hAnsi="VIC"/>
          <w:sz w:val="20"/>
          <w:szCs w:val="20"/>
        </w:rPr>
      </w:pPr>
      <w:r w:rsidRPr="003D0B4A">
        <w:rPr>
          <w:rFonts w:ascii="VIC" w:hAnsi="VIC"/>
          <w:sz w:val="20"/>
          <w:szCs w:val="20"/>
        </w:rPr>
        <w:t>Applications will only be accepted from companies that have prequalification in Road and Bridge Design/Bridge Design/Structures – Complex (CS)</w:t>
      </w:r>
      <w:r w:rsidR="00771F32">
        <w:rPr>
          <w:rFonts w:ascii="VIC" w:hAnsi="VIC"/>
          <w:sz w:val="20"/>
          <w:szCs w:val="20"/>
        </w:rPr>
        <w:t>, and that wish to submit applications from nominated individual representatives who are employed by that company at the date of application.</w:t>
      </w:r>
    </w:p>
    <w:p w14:paraId="7843C476" w14:textId="166CDC2F" w:rsidR="003D0B4A" w:rsidRPr="008C7A92" w:rsidRDefault="00A35134" w:rsidP="008C7A92">
      <w:pPr>
        <w:rPr>
          <w:rFonts w:ascii="VIC" w:eastAsiaTheme="majorEastAsia" w:hAnsi="VIC" w:cstheme="majorBidi"/>
          <w:color w:val="0F4761" w:themeColor="accent1" w:themeShade="BF"/>
          <w:sz w:val="32"/>
          <w:szCs w:val="32"/>
        </w:rPr>
      </w:pPr>
      <w:r>
        <w:rPr>
          <w:rFonts w:ascii="VIC" w:eastAsiaTheme="majorEastAsia" w:hAnsi="VIC" w:cstheme="majorBidi"/>
          <w:color w:val="0F4761" w:themeColor="accent1" w:themeShade="BF"/>
          <w:sz w:val="32"/>
          <w:szCs w:val="32"/>
        </w:rPr>
        <w:t>Renewal/</w:t>
      </w:r>
      <w:r w:rsidR="00E71C3A">
        <w:rPr>
          <w:rFonts w:ascii="VIC" w:eastAsiaTheme="majorEastAsia" w:hAnsi="VIC" w:cstheme="majorBidi"/>
          <w:color w:val="0F4761" w:themeColor="accent1" w:themeShade="BF"/>
          <w:sz w:val="32"/>
          <w:szCs w:val="32"/>
        </w:rPr>
        <w:t xml:space="preserve"> </w:t>
      </w:r>
      <w:r w:rsidR="003D0B4A" w:rsidRPr="008C7A92">
        <w:rPr>
          <w:rFonts w:ascii="VIC" w:eastAsiaTheme="majorEastAsia" w:hAnsi="VIC" w:cstheme="majorBidi"/>
          <w:color w:val="0F4761" w:themeColor="accent1" w:themeShade="BF"/>
          <w:sz w:val="32"/>
          <w:szCs w:val="32"/>
        </w:rPr>
        <w:t>Re</w:t>
      </w:r>
      <w:r w:rsidR="00E71C3A">
        <w:rPr>
          <w:rFonts w:ascii="VIC" w:eastAsiaTheme="majorEastAsia" w:hAnsi="VIC" w:cstheme="majorBidi"/>
          <w:color w:val="0F4761" w:themeColor="accent1" w:themeShade="BF"/>
          <w:sz w:val="32"/>
          <w:szCs w:val="32"/>
        </w:rPr>
        <w:t>views</w:t>
      </w:r>
      <w:r w:rsidR="003D0B4A" w:rsidRPr="008C7A92">
        <w:rPr>
          <w:rFonts w:ascii="VIC" w:eastAsiaTheme="majorEastAsia" w:hAnsi="VIC" w:cstheme="majorBidi"/>
          <w:color w:val="0F4761" w:themeColor="accent1" w:themeShade="BF"/>
          <w:sz w:val="32"/>
          <w:szCs w:val="32"/>
        </w:rPr>
        <w:t xml:space="preserve"> </w:t>
      </w:r>
    </w:p>
    <w:p w14:paraId="14515A0A" w14:textId="6B65A3A1" w:rsidR="00301410" w:rsidRPr="008B1E6C" w:rsidRDefault="00301410" w:rsidP="00301410">
      <w:pPr>
        <w:rPr>
          <w:rFonts w:ascii="VIC" w:hAnsi="VIC"/>
          <w:sz w:val="20"/>
          <w:szCs w:val="20"/>
        </w:rPr>
      </w:pPr>
      <w:r w:rsidRPr="008B1E6C">
        <w:rPr>
          <w:rFonts w:ascii="VIC" w:hAnsi="VIC"/>
          <w:sz w:val="20"/>
          <w:szCs w:val="20"/>
        </w:rPr>
        <w:t>Prequalified companies and the</w:t>
      </w:r>
      <w:r w:rsidR="00E71C3A" w:rsidRPr="008B1E6C">
        <w:rPr>
          <w:rFonts w:ascii="VIC" w:hAnsi="VIC"/>
          <w:sz w:val="20"/>
          <w:szCs w:val="20"/>
        </w:rPr>
        <w:t>ir</w:t>
      </w:r>
      <w:r w:rsidRPr="008B1E6C">
        <w:rPr>
          <w:rFonts w:ascii="VIC" w:hAnsi="VIC"/>
          <w:sz w:val="20"/>
          <w:szCs w:val="20"/>
        </w:rPr>
        <w:t xml:space="preserve"> nominated representatives </w:t>
      </w:r>
      <w:r w:rsidR="00E71C3A" w:rsidRPr="008B1E6C">
        <w:rPr>
          <w:rFonts w:ascii="VIC" w:eastAsiaTheme="majorEastAsia" w:hAnsi="VIC" w:cstheme="majorBidi"/>
          <w:sz w:val="20"/>
          <w:szCs w:val="20"/>
        </w:rPr>
        <w:t xml:space="preserve">will be required to participate in performance reviews every 5 years </w:t>
      </w:r>
      <w:proofErr w:type="gramStart"/>
      <w:r w:rsidR="00E71C3A" w:rsidRPr="008B1E6C">
        <w:rPr>
          <w:rFonts w:ascii="VIC" w:eastAsiaTheme="majorEastAsia" w:hAnsi="VIC" w:cstheme="majorBidi"/>
          <w:sz w:val="20"/>
          <w:szCs w:val="20"/>
        </w:rPr>
        <w:t>in order to</w:t>
      </w:r>
      <w:proofErr w:type="gramEnd"/>
      <w:r w:rsidR="00E71C3A" w:rsidRPr="008B1E6C">
        <w:rPr>
          <w:rFonts w:ascii="VIC" w:eastAsiaTheme="majorEastAsia" w:hAnsi="VIC" w:cstheme="majorBidi"/>
          <w:sz w:val="20"/>
          <w:szCs w:val="20"/>
        </w:rPr>
        <w:t xml:space="preserve"> assess performance against the eligibility criteria for prequalification. DTP also reserves the right to review any prequalification at any time.</w:t>
      </w:r>
    </w:p>
    <w:p w14:paraId="1A6A569C" w14:textId="302690EB" w:rsidR="003D0B4A" w:rsidRDefault="00CC0185" w:rsidP="003D0B4A">
      <w:pPr>
        <w:pStyle w:val="Heading2"/>
        <w:rPr>
          <w:rFonts w:ascii="VIC" w:hAnsi="VIC"/>
        </w:rPr>
      </w:pPr>
      <w:r>
        <w:rPr>
          <w:rFonts w:ascii="VIC" w:hAnsi="VIC"/>
        </w:rPr>
        <w:t>Minimum</w:t>
      </w:r>
      <w:r w:rsidR="003D0B4A" w:rsidRPr="003D0B4A">
        <w:rPr>
          <w:rFonts w:ascii="VIC" w:hAnsi="VIC"/>
        </w:rPr>
        <w:t xml:space="preserve"> Requirements</w:t>
      </w:r>
    </w:p>
    <w:p w14:paraId="49CA3198" w14:textId="0C634336" w:rsidR="00301410" w:rsidRPr="003D0B4A" w:rsidRDefault="004669F6" w:rsidP="00771F32">
      <w:pPr>
        <w:rPr>
          <w:rFonts w:ascii="VIC" w:hAnsi="VIC"/>
          <w:sz w:val="20"/>
          <w:szCs w:val="20"/>
        </w:rPr>
      </w:pPr>
      <w:r>
        <w:rPr>
          <w:rFonts w:ascii="VIC" w:hAnsi="VIC"/>
          <w:sz w:val="20"/>
          <w:szCs w:val="20"/>
        </w:rPr>
        <w:t xml:space="preserve">Applicants must include with their application Structural Design Documentation as detailed in the table below </w:t>
      </w:r>
      <w:r w:rsidR="008B1E6C">
        <w:rPr>
          <w:rFonts w:ascii="VIC" w:hAnsi="VIC"/>
          <w:sz w:val="20"/>
          <w:szCs w:val="20"/>
        </w:rPr>
        <w:t xml:space="preserve">as well as </w:t>
      </w:r>
      <w:r>
        <w:rPr>
          <w:rFonts w:ascii="VIC" w:hAnsi="VIC"/>
          <w:sz w:val="20"/>
          <w:szCs w:val="20"/>
        </w:rPr>
        <w:t>Detailed CVs,</w:t>
      </w:r>
      <w:r w:rsidR="00301410" w:rsidRPr="003D0B4A">
        <w:rPr>
          <w:rFonts w:ascii="VIC" w:hAnsi="VIC"/>
          <w:sz w:val="20"/>
          <w:szCs w:val="20"/>
        </w:rPr>
        <w:t xml:space="preserve"> noting</w:t>
      </w:r>
      <w:r>
        <w:rPr>
          <w:rFonts w:ascii="VIC" w:hAnsi="VIC"/>
          <w:sz w:val="20"/>
          <w:szCs w:val="20"/>
        </w:rPr>
        <w:t xml:space="preserve"> that</w:t>
      </w:r>
      <w:r w:rsidR="00301410" w:rsidRPr="003D0B4A">
        <w:rPr>
          <w:rFonts w:ascii="VIC" w:hAnsi="VIC"/>
          <w:sz w:val="20"/>
          <w:szCs w:val="20"/>
        </w:rPr>
        <w:t xml:space="preserve">: </w:t>
      </w:r>
    </w:p>
    <w:p w14:paraId="6CDD673D" w14:textId="7FBE2BB6" w:rsidR="00301410" w:rsidRPr="003D0B4A" w:rsidRDefault="001D3ADF" w:rsidP="00301410">
      <w:pPr>
        <w:pStyle w:val="ListParagraph"/>
        <w:numPr>
          <w:ilvl w:val="0"/>
          <w:numId w:val="14"/>
        </w:numPr>
        <w:rPr>
          <w:rFonts w:ascii="VIC" w:hAnsi="VIC"/>
          <w:sz w:val="20"/>
          <w:szCs w:val="20"/>
        </w:rPr>
      </w:pPr>
      <w:r>
        <w:rPr>
          <w:rFonts w:ascii="VIC" w:eastAsia="Times New Roman" w:hAnsi="VIC" w:cs="Calibri"/>
          <w:sz w:val="20"/>
          <w:szCs w:val="20"/>
          <w:lang w:eastAsia="en-AU"/>
        </w:rPr>
        <w:t>The</w:t>
      </w:r>
      <w:r w:rsidR="00301410" w:rsidRPr="003D0B4A">
        <w:rPr>
          <w:rFonts w:ascii="VIC" w:eastAsia="Times New Roman" w:hAnsi="VIC" w:cs="Calibri"/>
          <w:sz w:val="20"/>
          <w:szCs w:val="20"/>
          <w:lang w:eastAsia="en-AU"/>
        </w:rPr>
        <w:t xml:space="preserve"> minimum number (and not more than the maximum number) of </w:t>
      </w:r>
      <w:r>
        <w:rPr>
          <w:rFonts w:ascii="VIC" w:eastAsia="Times New Roman" w:hAnsi="VIC" w:cs="Calibri"/>
          <w:sz w:val="20"/>
          <w:szCs w:val="20"/>
          <w:lang w:eastAsia="en-AU"/>
        </w:rPr>
        <w:t>D</w:t>
      </w:r>
      <w:r w:rsidR="00301410" w:rsidRPr="003D0B4A">
        <w:rPr>
          <w:rFonts w:ascii="VIC" w:eastAsia="Times New Roman" w:hAnsi="VIC" w:cs="Calibri"/>
          <w:sz w:val="20"/>
          <w:szCs w:val="20"/>
          <w:lang w:eastAsia="en-AU"/>
        </w:rPr>
        <w:t xml:space="preserve">etailed </w:t>
      </w:r>
      <w:r>
        <w:rPr>
          <w:rFonts w:ascii="VIC" w:eastAsia="Times New Roman" w:hAnsi="VIC" w:cs="Calibri"/>
          <w:sz w:val="20"/>
          <w:szCs w:val="20"/>
          <w:lang w:eastAsia="en-AU"/>
        </w:rPr>
        <w:t>D</w:t>
      </w:r>
      <w:r w:rsidR="00301410" w:rsidRPr="003D0B4A">
        <w:rPr>
          <w:rFonts w:ascii="VIC" w:eastAsia="Times New Roman" w:hAnsi="VIC" w:cs="Calibri"/>
          <w:sz w:val="20"/>
          <w:szCs w:val="20"/>
          <w:lang w:eastAsia="en-AU"/>
        </w:rPr>
        <w:t xml:space="preserve">esign examples </w:t>
      </w:r>
      <w:r>
        <w:rPr>
          <w:rFonts w:ascii="VIC" w:eastAsia="Times New Roman" w:hAnsi="VIC" w:cs="Calibri"/>
          <w:sz w:val="20"/>
          <w:szCs w:val="20"/>
          <w:lang w:eastAsia="en-AU"/>
        </w:rPr>
        <w:t>as indicated in the table below must be provided.</w:t>
      </w:r>
    </w:p>
    <w:p w14:paraId="5CDD0D68" w14:textId="093A8C78" w:rsidR="00301410" w:rsidRPr="003D0B4A" w:rsidRDefault="00301410" w:rsidP="00301410">
      <w:pPr>
        <w:pStyle w:val="ListParagraph"/>
        <w:numPr>
          <w:ilvl w:val="0"/>
          <w:numId w:val="14"/>
        </w:numPr>
        <w:rPr>
          <w:rFonts w:ascii="VIC" w:hAnsi="VIC"/>
          <w:sz w:val="20"/>
          <w:szCs w:val="20"/>
        </w:rPr>
      </w:pPr>
      <w:r w:rsidRPr="003D0B4A">
        <w:rPr>
          <w:rFonts w:ascii="VIC" w:hAnsi="VIC"/>
          <w:sz w:val="20"/>
          <w:szCs w:val="20"/>
        </w:rPr>
        <w:t xml:space="preserve">Detailed design examples must </w:t>
      </w:r>
      <w:r w:rsidR="008B1E6C" w:rsidRPr="003D0B4A">
        <w:rPr>
          <w:rFonts w:ascii="VIC" w:hAnsi="VIC"/>
          <w:sz w:val="20"/>
          <w:szCs w:val="20"/>
        </w:rPr>
        <w:t>include:</w:t>
      </w:r>
    </w:p>
    <w:p w14:paraId="2758245A" w14:textId="77777777" w:rsidR="00301410" w:rsidRPr="003D0B4A" w:rsidRDefault="00301410" w:rsidP="00301410">
      <w:pPr>
        <w:pStyle w:val="ListParagraph"/>
        <w:numPr>
          <w:ilvl w:val="1"/>
          <w:numId w:val="14"/>
        </w:numPr>
        <w:rPr>
          <w:rFonts w:ascii="VIC" w:hAnsi="VIC"/>
          <w:sz w:val="20"/>
          <w:szCs w:val="20"/>
        </w:rPr>
      </w:pPr>
      <w:r w:rsidRPr="003D0B4A">
        <w:rPr>
          <w:rFonts w:ascii="VIC" w:hAnsi="VIC"/>
          <w:sz w:val="20"/>
          <w:szCs w:val="20"/>
        </w:rPr>
        <w:t>structural design drawings; and</w:t>
      </w:r>
    </w:p>
    <w:p w14:paraId="7B7754CD" w14:textId="77777777" w:rsidR="00301410" w:rsidRPr="003D0B4A" w:rsidRDefault="00301410" w:rsidP="00301410">
      <w:pPr>
        <w:pStyle w:val="ListParagraph"/>
        <w:numPr>
          <w:ilvl w:val="1"/>
          <w:numId w:val="14"/>
        </w:numPr>
        <w:rPr>
          <w:rFonts w:ascii="VIC" w:hAnsi="VIC"/>
          <w:sz w:val="20"/>
          <w:szCs w:val="20"/>
        </w:rPr>
      </w:pPr>
      <w:r w:rsidRPr="003D0B4A">
        <w:rPr>
          <w:rFonts w:ascii="VIC" w:eastAsia="Times New Roman" w:hAnsi="VIC" w:cs="Calibri"/>
          <w:sz w:val="20"/>
          <w:szCs w:val="20"/>
          <w:lang w:eastAsia="en-AU"/>
        </w:rPr>
        <w:t>sample structural detailed design calculations; and</w:t>
      </w:r>
    </w:p>
    <w:p w14:paraId="2BFD40F3" w14:textId="64C404DC" w:rsidR="00301410" w:rsidRPr="003D0B4A" w:rsidRDefault="00301410" w:rsidP="00301410">
      <w:pPr>
        <w:pStyle w:val="ListParagraph"/>
        <w:numPr>
          <w:ilvl w:val="1"/>
          <w:numId w:val="14"/>
        </w:numPr>
        <w:rPr>
          <w:rFonts w:ascii="VIC" w:hAnsi="VIC"/>
          <w:sz w:val="20"/>
          <w:szCs w:val="20"/>
        </w:rPr>
      </w:pPr>
      <w:r w:rsidRPr="003D0B4A">
        <w:rPr>
          <w:rFonts w:ascii="VIC" w:eastAsia="Times New Roman" w:hAnsi="VIC" w:cs="Calibri"/>
          <w:sz w:val="20"/>
          <w:szCs w:val="20"/>
          <w:lang w:eastAsia="en-AU"/>
        </w:rPr>
        <w:t>structural design report</w:t>
      </w:r>
      <w:r w:rsidR="001D3ADF">
        <w:rPr>
          <w:rFonts w:ascii="VIC" w:eastAsia="Times New Roman" w:hAnsi="VIC" w:cs="Calibri"/>
          <w:sz w:val="20"/>
          <w:szCs w:val="20"/>
          <w:lang w:eastAsia="en-AU"/>
        </w:rPr>
        <w:t>s</w:t>
      </w:r>
      <w:r w:rsidRPr="003D0B4A">
        <w:rPr>
          <w:rFonts w:ascii="VIC" w:eastAsia="Times New Roman" w:hAnsi="VIC" w:cs="Calibri"/>
          <w:sz w:val="20"/>
          <w:szCs w:val="20"/>
          <w:lang w:eastAsia="en-AU"/>
        </w:rPr>
        <w:t xml:space="preserve">. </w:t>
      </w:r>
    </w:p>
    <w:p w14:paraId="2DB16326" w14:textId="54197EEA" w:rsidR="00301410" w:rsidRPr="008B1E6C" w:rsidRDefault="009953DB" w:rsidP="00301410">
      <w:pPr>
        <w:pStyle w:val="ListParagraph"/>
        <w:numPr>
          <w:ilvl w:val="0"/>
          <w:numId w:val="14"/>
        </w:numPr>
        <w:rPr>
          <w:rFonts w:ascii="VIC" w:hAnsi="VIC"/>
          <w:sz w:val="20"/>
          <w:szCs w:val="20"/>
        </w:rPr>
      </w:pPr>
      <w:r w:rsidRPr="00841DBA">
        <w:rPr>
          <w:rFonts w:ascii="VIC" w:hAnsi="VIC"/>
          <w:sz w:val="20"/>
          <w:szCs w:val="20"/>
        </w:rPr>
        <w:t xml:space="preserve">Preliminary/Concept/Tender </w:t>
      </w:r>
      <w:r w:rsidR="008B1E6C" w:rsidRPr="00841DBA">
        <w:rPr>
          <w:rFonts w:ascii="VIC" w:hAnsi="VIC"/>
          <w:sz w:val="20"/>
          <w:szCs w:val="20"/>
        </w:rPr>
        <w:t>Designs</w:t>
      </w:r>
      <w:r w:rsidR="008B1E6C" w:rsidRPr="003D0B4A">
        <w:rPr>
          <w:rFonts w:ascii="VIC" w:eastAsia="Times New Roman" w:hAnsi="VIC" w:cs="Calibri"/>
          <w:sz w:val="20"/>
          <w:szCs w:val="20"/>
          <w:lang w:eastAsia="en-AU"/>
        </w:rPr>
        <w:t xml:space="preserve"> will</w:t>
      </w:r>
      <w:r w:rsidR="00301410" w:rsidRPr="003D0B4A">
        <w:rPr>
          <w:rFonts w:ascii="VIC" w:eastAsia="Times New Roman" w:hAnsi="VIC" w:cs="Calibri"/>
          <w:sz w:val="20"/>
          <w:szCs w:val="20"/>
          <w:lang w:eastAsia="en-AU"/>
        </w:rPr>
        <w:t xml:space="preserve"> not be considered. </w:t>
      </w:r>
    </w:p>
    <w:p w14:paraId="3427A467" w14:textId="782FAE6C" w:rsidR="009953DB" w:rsidRPr="008B1E6C" w:rsidRDefault="009953DB" w:rsidP="00301410">
      <w:pPr>
        <w:pStyle w:val="ListParagraph"/>
        <w:numPr>
          <w:ilvl w:val="0"/>
          <w:numId w:val="14"/>
        </w:numPr>
        <w:rPr>
          <w:rFonts w:ascii="VIC" w:hAnsi="VIC"/>
          <w:sz w:val="20"/>
          <w:szCs w:val="20"/>
        </w:rPr>
      </w:pPr>
      <w:r w:rsidRPr="00635A3E">
        <w:rPr>
          <w:rFonts w:ascii="VIC" w:hAnsi="VIC"/>
          <w:sz w:val="20"/>
          <w:szCs w:val="20"/>
        </w:rPr>
        <w:t>Submitted documents must be in English and must refer to projects completed within the last 20 years</w:t>
      </w:r>
      <w:r>
        <w:rPr>
          <w:rFonts w:ascii="VIC" w:hAnsi="VIC"/>
          <w:sz w:val="20"/>
          <w:szCs w:val="20"/>
        </w:rPr>
        <w:t>.</w:t>
      </w:r>
    </w:p>
    <w:p w14:paraId="19F914D3" w14:textId="29585BAE" w:rsidR="001D3ADF" w:rsidRPr="008B1E6C" w:rsidRDefault="004669F6" w:rsidP="009953DB">
      <w:pPr>
        <w:pStyle w:val="ListParagraph"/>
        <w:numPr>
          <w:ilvl w:val="0"/>
          <w:numId w:val="14"/>
        </w:numPr>
        <w:rPr>
          <w:rFonts w:ascii="VIC" w:hAnsi="VIC"/>
          <w:sz w:val="20"/>
          <w:szCs w:val="20"/>
        </w:rPr>
      </w:pPr>
      <w:r w:rsidRPr="00841DBA">
        <w:rPr>
          <w:rFonts w:ascii="VIC" w:hAnsi="VIC"/>
          <w:sz w:val="20"/>
          <w:szCs w:val="20"/>
        </w:rPr>
        <w:t>No parts of the documents that are submitted for DTP assessment can be redacted.</w:t>
      </w:r>
    </w:p>
    <w:p w14:paraId="6E87F98F" w14:textId="290398AA" w:rsidR="004669F6" w:rsidRPr="003D0B4A" w:rsidRDefault="004669F6" w:rsidP="00301410">
      <w:pPr>
        <w:pStyle w:val="ListParagraph"/>
        <w:numPr>
          <w:ilvl w:val="0"/>
          <w:numId w:val="14"/>
        </w:numPr>
        <w:rPr>
          <w:rFonts w:ascii="VIC" w:hAnsi="VIC"/>
          <w:sz w:val="20"/>
          <w:szCs w:val="20"/>
        </w:rPr>
      </w:pPr>
      <w:r w:rsidRPr="00841DBA">
        <w:rPr>
          <w:rFonts w:ascii="VIC" w:hAnsi="VIC"/>
          <w:sz w:val="20"/>
          <w:szCs w:val="20"/>
        </w:rPr>
        <w:t>Unknown/confidential projects are inadmissible</w:t>
      </w:r>
      <w:r>
        <w:rPr>
          <w:rFonts w:ascii="VIC" w:hAnsi="VIC"/>
          <w:sz w:val="20"/>
          <w:szCs w:val="20"/>
        </w:rPr>
        <w:t>.</w:t>
      </w:r>
    </w:p>
    <w:p w14:paraId="641B6E89" w14:textId="054F6683" w:rsidR="00301410" w:rsidRPr="00EC41A7" w:rsidRDefault="001D3ADF" w:rsidP="00301410">
      <w:pPr>
        <w:pStyle w:val="ListParagraph"/>
        <w:numPr>
          <w:ilvl w:val="0"/>
          <w:numId w:val="14"/>
        </w:numPr>
        <w:rPr>
          <w:rFonts w:ascii="VIC" w:hAnsi="VIC"/>
          <w:i/>
          <w:sz w:val="20"/>
          <w:szCs w:val="20"/>
        </w:rPr>
      </w:pPr>
      <w:r>
        <w:rPr>
          <w:rFonts w:ascii="VIC" w:hAnsi="VIC"/>
          <w:sz w:val="20"/>
          <w:szCs w:val="20"/>
        </w:rPr>
        <w:t xml:space="preserve">Applications must </w:t>
      </w:r>
      <w:r w:rsidR="00301410" w:rsidRPr="00A35134">
        <w:rPr>
          <w:rFonts w:ascii="VIC" w:hAnsi="VIC"/>
          <w:sz w:val="20"/>
          <w:szCs w:val="20"/>
        </w:rPr>
        <w:t xml:space="preserve">Include </w:t>
      </w:r>
      <w:r w:rsidRPr="00A35134">
        <w:rPr>
          <w:rFonts w:ascii="VIC" w:hAnsi="VIC"/>
          <w:b/>
          <w:sz w:val="20"/>
          <w:szCs w:val="20"/>
        </w:rPr>
        <w:t>D</w:t>
      </w:r>
      <w:r w:rsidR="00301410" w:rsidRPr="00A35134">
        <w:rPr>
          <w:rFonts w:ascii="VIC" w:hAnsi="VIC"/>
          <w:b/>
          <w:sz w:val="20"/>
          <w:szCs w:val="20"/>
        </w:rPr>
        <w:t>etailed CVs</w:t>
      </w:r>
      <w:r w:rsidR="00301410" w:rsidRPr="00A35134">
        <w:rPr>
          <w:rFonts w:ascii="VIC" w:hAnsi="VIC"/>
          <w:sz w:val="20"/>
          <w:szCs w:val="20"/>
        </w:rPr>
        <w:t xml:space="preserve"> that demonstrate </w:t>
      </w:r>
      <w:r w:rsidR="00301410" w:rsidRPr="00A35134">
        <w:rPr>
          <w:rFonts w:ascii="VIC" w:hAnsi="VIC"/>
          <w:b/>
          <w:sz w:val="20"/>
          <w:szCs w:val="20"/>
        </w:rPr>
        <w:t xml:space="preserve">hands-on relevant structural </w:t>
      </w:r>
      <w:r w:rsidR="003C73EC" w:rsidRPr="00A35134">
        <w:rPr>
          <w:rFonts w:ascii="VIC" w:hAnsi="VIC"/>
          <w:b/>
          <w:sz w:val="20"/>
          <w:szCs w:val="20"/>
        </w:rPr>
        <w:t xml:space="preserve">detailed </w:t>
      </w:r>
      <w:r w:rsidR="00301410" w:rsidRPr="00A35134">
        <w:rPr>
          <w:rFonts w:ascii="VIC" w:hAnsi="VIC"/>
          <w:b/>
          <w:sz w:val="20"/>
          <w:szCs w:val="20"/>
        </w:rPr>
        <w:t>design experience of</w:t>
      </w:r>
      <w:r w:rsidR="00161607" w:rsidRPr="00A35134">
        <w:rPr>
          <w:rFonts w:ascii="VIC" w:hAnsi="VIC"/>
          <w:b/>
          <w:sz w:val="20"/>
          <w:szCs w:val="20"/>
        </w:rPr>
        <w:t xml:space="preserve"> </w:t>
      </w:r>
      <w:r w:rsidR="00301410" w:rsidRPr="00A35134">
        <w:rPr>
          <w:rFonts w:ascii="VIC" w:hAnsi="VIC"/>
          <w:b/>
          <w:sz w:val="20"/>
          <w:szCs w:val="20"/>
        </w:rPr>
        <w:t xml:space="preserve">15 years minimum (10 years minimum designing to AS5100, with </w:t>
      </w:r>
      <w:r w:rsidR="00301410" w:rsidRPr="008B1E6C">
        <w:rPr>
          <w:rFonts w:ascii="VIC" w:hAnsi="VIC"/>
          <w:b/>
          <w:sz w:val="20"/>
          <w:szCs w:val="20"/>
        </w:rPr>
        <w:t>maximum 5 years designing to other overseas standards)</w:t>
      </w:r>
      <w:r w:rsidR="00301410" w:rsidRPr="003D0B4A">
        <w:rPr>
          <w:rFonts w:ascii="VIC" w:hAnsi="VIC"/>
          <w:sz w:val="20"/>
          <w:szCs w:val="20"/>
        </w:rPr>
        <w:t xml:space="preserve">, with primary responsibility of undertaking structural design and analysis of structures listed in the </w:t>
      </w:r>
      <w:r>
        <w:rPr>
          <w:rFonts w:ascii="VIC" w:hAnsi="VIC"/>
          <w:sz w:val="20"/>
          <w:szCs w:val="20"/>
        </w:rPr>
        <w:t>A</w:t>
      </w:r>
      <w:r w:rsidR="00301410" w:rsidRPr="003D0B4A">
        <w:rPr>
          <w:rFonts w:ascii="VIC" w:hAnsi="VIC"/>
          <w:sz w:val="20"/>
          <w:szCs w:val="20"/>
        </w:rPr>
        <w:t xml:space="preserve">reas of </w:t>
      </w:r>
      <w:r>
        <w:rPr>
          <w:rFonts w:ascii="VIC" w:hAnsi="VIC"/>
          <w:sz w:val="20"/>
          <w:szCs w:val="20"/>
        </w:rPr>
        <w:t>C</w:t>
      </w:r>
      <w:r w:rsidR="00301410" w:rsidRPr="003D0B4A">
        <w:rPr>
          <w:rFonts w:ascii="VIC" w:hAnsi="VIC"/>
          <w:sz w:val="20"/>
          <w:szCs w:val="20"/>
        </w:rPr>
        <w:t xml:space="preserve">ompetency listed in the table below. </w:t>
      </w:r>
      <w:r w:rsidR="00301410" w:rsidRPr="008B1E6C">
        <w:rPr>
          <w:rFonts w:ascii="VIC" w:hAnsi="VIC"/>
          <w:b/>
          <w:sz w:val="20"/>
          <w:szCs w:val="20"/>
        </w:rPr>
        <w:t xml:space="preserve">Note that the 15 years minimum </w:t>
      </w:r>
      <w:r w:rsidR="00FC7078">
        <w:rPr>
          <w:rFonts w:ascii="VIC" w:hAnsi="VIC"/>
          <w:b/>
          <w:sz w:val="20"/>
          <w:szCs w:val="20"/>
        </w:rPr>
        <w:t>cannot include</w:t>
      </w:r>
      <w:r w:rsidR="00301410" w:rsidRPr="008B1E6C">
        <w:rPr>
          <w:rFonts w:ascii="VIC" w:hAnsi="VIC"/>
          <w:b/>
          <w:sz w:val="20"/>
          <w:szCs w:val="20"/>
        </w:rPr>
        <w:t xml:space="preserve"> any time spent in non-practical and/or non-design positions, so excludes </w:t>
      </w:r>
      <w:r w:rsidRPr="008B1E6C">
        <w:rPr>
          <w:rFonts w:ascii="VIC" w:hAnsi="VIC"/>
          <w:b/>
          <w:sz w:val="20"/>
          <w:szCs w:val="20"/>
        </w:rPr>
        <w:t xml:space="preserve">time </w:t>
      </w:r>
      <w:r w:rsidR="00301410" w:rsidRPr="008B1E6C">
        <w:rPr>
          <w:rFonts w:ascii="VIC" w:hAnsi="VIC"/>
          <w:b/>
          <w:sz w:val="20"/>
          <w:szCs w:val="20"/>
        </w:rPr>
        <w:t>spent in academia, construction, business management, etc.</w:t>
      </w:r>
    </w:p>
    <w:p w14:paraId="36EB9EE1" w14:textId="57575B23" w:rsidR="003C18A1" w:rsidRPr="003D0B4A" w:rsidRDefault="003C18A1" w:rsidP="008B1E6C">
      <w:pPr>
        <w:pStyle w:val="ListParagraph"/>
        <w:rPr>
          <w:rFonts w:ascii="VIC" w:hAnsi="VIC"/>
          <w:sz w:val="20"/>
          <w:szCs w:val="20"/>
        </w:rPr>
      </w:pPr>
    </w:p>
    <w:p w14:paraId="6E6B4934" w14:textId="77777777" w:rsidR="00EC41A7" w:rsidRDefault="00EC41A7" w:rsidP="00EC41A7">
      <w:pPr>
        <w:rPr>
          <w:rFonts w:ascii="VIC" w:hAnsi="VIC"/>
          <w:i/>
          <w:sz w:val="20"/>
          <w:szCs w:val="20"/>
        </w:rPr>
      </w:pPr>
    </w:p>
    <w:p w14:paraId="62478B75" w14:textId="77777777" w:rsidR="00EC41A7" w:rsidRPr="00EC41A7" w:rsidRDefault="00EC41A7" w:rsidP="00EC41A7">
      <w:pPr>
        <w:rPr>
          <w:rFonts w:ascii="VIC" w:hAnsi="VIC"/>
          <w:i/>
          <w:sz w:val="20"/>
          <w:szCs w:val="20"/>
        </w:rPr>
      </w:pPr>
    </w:p>
    <w:p w14:paraId="081541B8" w14:textId="77777777" w:rsidR="00EC41A7" w:rsidRDefault="00EC41A7" w:rsidP="00EC41A7">
      <w:pPr>
        <w:rPr>
          <w:rFonts w:ascii="VIC" w:hAnsi="VIC"/>
          <w:i/>
          <w:sz w:val="20"/>
          <w:szCs w:val="20"/>
        </w:rPr>
      </w:pPr>
    </w:p>
    <w:p w14:paraId="36C6DB78" w14:textId="77777777" w:rsidR="00EC41A7" w:rsidRDefault="00EC41A7" w:rsidP="00EC41A7">
      <w:pPr>
        <w:rPr>
          <w:rFonts w:ascii="VIC" w:hAnsi="VIC"/>
          <w:i/>
          <w:sz w:val="20"/>
          <w:szCs w:val="20"/>
        </w:rPr>
      </w:pPr>
    </w:p>
    <w:p w14:paraId="3BEE8AF8" w14:textId="77777777" w:rsidR="00EC41A7" w:rsidRDefault="00EC41A7" w:rsidP="00EC41A7">
      <w:pPr>
        <w:rPr>
          <w:rFonts w:ascii="VIC" w:hAnsi="VIC"/>
          <w:i/>
          <w:sz w:val="20"/>
          <w:szCs w:val="20"/>
        </w:rPr>
      </w:pPr>
    </w:p>
    <w:p w14:paraId="0A8F6144" w14:textId="77777777" w:rsidR="00EC41A7" w:rsidRDefault="00EC41A7" w:rsidP="00EC41A7">
      <w:pPr>
        <w:rPr>
          <w:rFonts w:ascii="VIC" w:hAnsi="VIC"/>
          <w:i/>
          <w:sz w:val="20"/>
          <w:szCs w:val="20"/>
        </w:rPr>
      </w:pPr>
    </w:p>
    <w:p w14:paraId="5B83DDDB" w14:textId="77777777" w:rsidR="00EC41A7" w:rsidRDefault="00EC41A7" w:rsidP="00EC41A7">
      <w:pPr>
        <w:rPr>
          <w:rFonts w:ascii="VIC" w:hAnsi="VIC"/>
          <w:i/>
          <w:sz w:val="20"/>
          <w:szCs w:val="20"/>
        </w:rPr>
      </w:pPr>
    </w:p>
    <w:p w14:paraId="5DBD7113" w14:textId="77777777" w:rsidR="00EC41A7" w:rsidRDefault="00EC41A7" w:rsidP="00EC41A7">
      <w:pPr>
        <w:rPr>
          <w:rFonts w:ascii="VIC" w:hAnsi="VIC"/>
          <w:i/>
          <w:sz w:val="20"/>
          <w:szCs w:val="20"/>
        </w:rPr>
      </w:pPr>
    </w:p>
    <w:p w14:paraId="09DB290B" w14:textId="77777777" w:rsidR="00EC41A7" w:rsidRDefault="00EC41A7" w:rsidP="00EC41A7">
      <w:pPr>
        <w:rPr>
          <w:rFonts w:ascii="VIC" w:hAnsi="VIC"/>
          <w:i/>
          <w:sz w:val="20"/>
          <w:szCs w:val="20"/>
        </w:rPr>
      </w:pPr>
    </w:p>
    <w:p w14:paraId="3295B19D" w14:textId="77777777" w:rsidR="00EC41A7" w:rsidRPr="00EC41A7" w:rsidRDefault="00EC41A7" w:rsidP="00EC41A7">
      <w:pPr>
        <w:rPr>
          <w:rFonts w:ascii="VIC" w:hAnsi="VIC"/>
          <w:i/>
          <w:sz w:val="20"/>
          <w:szCs w:val="20"/>
        </w:rPr>
      </w:pPr>
    </w:p>
    <w:tbl>
      <w:tblPr>
        <w:tblStyle w:val="TableGrid"/>
        <w:tblW w:w="0" w:type="auto"/>
        <w:tblLook w:val="04A0" w:firstRow="1" w:lastRow="0" w:firstColumn="1" w:lastColumn="0" w:noHBand="0" w:noVBand="1"/>
      </w:tblPr>
      <w:tblGrid>
        <w:gridCol w:w="1838"/>
        <w:gridCol w:w="2268"/>
        <w:gridCol w:w="5977"/>
      </w:tblGrid>
      <w:tr w:rsidR="00EC41A7" w:rsidRPr="008B1E6C" w14:paraId="3E79B513" w14:textId="77777777" w:rsidTr="00EC41A7">
        <w:trPr>
          <w:trHeight w:val="1440"/>
        </w:trPr>
        <w:tc>
          <w:tcPr>
            <w:tcW w:w="4106" w:type="dxa"/>
            <w:gridSpan w:val="2"/>
            <w:noWrap/>
            <w:hideMark/>
          </w:tcPr>
          <w:p w14:paraId="52DB39F4" w14:textId="30A1B69B" w:rsidR="00EC41A7" w:rsidRPr="008B1E6C" w:rsidRDefault="00EC41A7" w:rsidP="00EC41A7">
            <w:pPr>
              <w:rPr>
                <w:rFonts w:ascii="VIC" w:hAnsi="VIC"/>
                <w:b/>
                <w:bCs/>
              </w:rPr>
            </w:pPr>
            <w:r w:rsidRPr="008B1E6C">
              <w:rPr>
                <w:rFonts w:ascii="VIC" w:hAnsi="VIC"/>
                <w:b/>
                <w:bCs/>
              </w:rPr>
              <w:t>Area of Competency</w:t>
            </w:r>
            <w:r w:rsidR="00771F32" w:rsidRPr="008B1E6C">
              <w:rPr>
                <w:rFonts w:ascii="VIC" w:hAnsi="VIC"/>
                <w:b/>
                <w:bCs/>
              </w:rPr>
              <w:t xml:space="preserve"> – Structure Types</w:t>
            </w:r>
          </w:p>
        </w:tc>
        <w:tc>
          <w:tcPr>
            <w:tcW w:w="5977" w:type="dxa"/>
            <w:tcBorders>
              <w:bottom w:val="single" w:sz="4" w:space="0" w:color="auto"/>
            </w:tcBorders>
            <w:hideMark/>
          </w:tcPr>
          <w:p w14:paraId="3F4B1537" w14:textId="6905B902" w:rsidR="00EC41A7" w:rsidRPr="008B1E6C" w:rsidRDefault="00771F32" w:rsidP="00EC41A7">
            <w:pPr>
              <w:rPr>
                <w:rFonts w:ascii="VIC" w:hAnsi="VIC"/>
                <w:b/>
                <w:bCs/>
              </w:rPr>
            </w:pPr>
            <w:r w:rsidRPr="008B1E6C">
              <w:rPr>
                <w:rFonts w:ascii="VIC" w:hAnsi="VIC"/>
                <w:b/>
                <w:bCs/>
              </w:rPr>
              <w:t xml:space="preserve">Structural Design </w:t>
            </w:r>
            <w:r w:rsidR="00EC41A7" w:rsidRPr="008B1E6C">
              <w:rPr>
                <w:rFonts w:ascii="VIC" w:hAnsi="VIC"/>
                <w:b/>
                <w:bCs/>
              </w:rPr>
              <w:t>Documentation Required</w:t>
            </w:r>
            <w:r w:rsidR="00EC41A7" w:rsidRPr="008B1E6C">
              <w:rPr>
                <w:rFonts w:ascii="VIC" w:hAnsi="VIC"/>
                <w:b/>
                <w:bCs/>
              </w:rPr>
              <w:br/>
            </w:r>
            <w:r w:rsidR="00EC41A7" w:rsidRPr="00A35134">
              <w:rPr>
                <w:rFonts w:ascii="VIC" w:hAnsi="VIC"/>
                <w:b/>
                <w:bCs/>
                <w:iCs/>
                <w:sz w:val="18"/>
                <w:szCs w:val="18"/>
              </w:rPr>
              <w:t>(Note: In the below, documentation pertaining to each "Detailed Design example" shall comprise Structural Design drawings AND sample Structural Detailed Design calculations AND Structural Design Report</w:t>
            </w:r>
            <w:r w:rsidRPr="00A35134">
              <w:rPr>
                <w:rFonts w:ascii="VIC" w:hAnsi="VIC"/>
                <w:b/>
                <w:bCs/>
                <w:iCs/>
                <w:sz w:val="18"/>
                <w:szCs w:val="18"/>
              </w:rPr>
              <w:t>s</w:t>
            </w:r>
            <w:r w:rsidR="00EC41A7" w:rsidRPr="00A35134">
              <w:rPr>
                <w:rFonts w:ascii="VIC" w:hAnsi="VIC"/>
                <w:b/>
                <w:bCs/>
                <w:iCs/>
                <w:sz w:val="18"/>
                <w:szCs w:val="18"/>
              </w:rPr>
              <w:t>)</w:t>
            </w:r>
          </w:p>
        </w:tc>
      </w:tr>
      <w:tr w:rsidR="008B1E6C" w:rsidRPr="00EC41A7" w14:paraId="02E69FB3" w14:textId="77777777" w:rsidTr="00C81590">
        <w:trPr>
          <w:trHeight w:val="737"/>
        </w:trPr>
        <w:tc>
          <w:tcPr>
            <w:tcW w:w="1838" w:type="dxa"/>
            <w:vMerge w:val="restart"/>
            <w:hideMark/>
          </w:tcPr>
          <w:p w14:paraId="5E24686D" w14:textId="77777777" w:rsidR="008B1E6C" w:rsidRPr="00EC41A7" w:rsidRDefault="008B1E6C" w:rsidP="00EC41A7">
            <w:pPr>
              <w:rPr>
                <w:rFonts w:ascii="VIC" w:hAnsi="VIC"/>
                <w:sz w:val="16"/>
                <w:szCs w:val="16"/>
              </w:rPr>
            </w:pPr>
            <w:r w:rsidRPr="00EC41A7">
              <w:rPr>
                <w:rFonts w:ascii="VIC" w:hAnsi="VIC"/>
                <w:sz w:val="16"/>
                <w:szCs w:val="16"/>
              </w:rPr>
              <w:t xml:space="preserve">1. Bridges over freeways, large waterways and railways with spans </w:t>
            </w:r>
            <w:proofErr w:type="gramStart"/>
            <w:r w:rsidRPr="00EC41A7">
              <w:rPr>
                <w:rFonts w:ascii="VIC" w:hAnsi="VIC"/>
                <w:sz w:val="16"/>
                <w:szCs w:val="16"/>
              </w:rPr>
              <w:t>in excess of</w:t>
            </w:r>
            <w:proofErr w:type="gramEnd"/>
            <w:r w:rsidRPr="00EC41A7">
              <w:rPr>
                <w:rFonts w:ascii="VIC" w:hAnsi="VIC"/>
                <w:sz w:val="16"/>
                <w:szCs w:val="16"/>
              </w:rPr>
              <w:t xml:space="preserve"> 20 metres</w:t>
            </w:r>
          </w:p>
        </w:tc>
        <w:tc>
          <w:tcPr>
            <w:tcW w:w="2268" w:type="dxa"/>
            <w:tcBorders>
              <w:right w:val="single" w:sz="4" w:space="0" w:color="auto"/>
            </w:tcBorders>
            <w:noWrap/>
            <w:hideMark/>
          </w:tcPr>
          <w:p w14:paraId="35C70539" w14:textId="77777777" w:rsidR="008B1E6C" w:rsidRPr="00EC41A7" w:rsidRDefault="008B1E6C">
            <w:pPr>
              <w:rPr>
                <w:rFonts w:ascii="VIC" w:hAnsi="VIC"/>
                <w:sz w:val="16"/>
                <w:szCs w:val="16"/>
              </w:rPr>
            </w:pPr>
            <w:r w:rsidRPr="00EC41A7">
              <w:rPr>
                <w:rFonts w:ascii="VIC" w:hAnsi="VIC"/>
                <w:sz w:val="16"/>
                <w:szCs w:val="16"/>
              </w:rPr>
              <w:t>Bridges with prestressed concrete beams</w:t>
            </w:r>
          </w:p>
        </w:tc>
        <w:tc>
          <w:tcPr>
            <w:tcW w:w="5977" w:type="dxa"/>
            <w:vMerge w:val="restart"/>
            <w:tcBorders>
              <w:top w:val="single" w:sz="4" w:space="0" w:color="auto"/>
              <w:left w:val="single" w:sz="4" w:space="0" w:color="auto"/>
            </w:tcBorders>
            <w:hideMark/>
          </w:tcPr>
          <w:p w14:paraId="08653BEE" w14:textId="3694F2CA" w:rsidR="008B1E6C" w:rsidRDefault="008B1E6C" w:rsidP="008B1E6C">
            <w:r w:rsidRPr="00EC41A7">
              <w:rPr>
                <w:rFonts w:ascii="Cambria" w:hAnsi="Cambria" w:cs="Cambria"/>
                <w:sz w:val="16"/>
                <w:szCs w:val="16"/>
              </w:rPr>
              <w:t> </w:t>
            </w:r>
            <w:r w:rsidRPr="00771F32">
              <w:rPr>
                <w:rFonts w:ascii="VIC" w:hAnsi="VIC"/>
                <w:sz w:val="16"/>
                <w:szCs w:val="16"/>
              </w:rPr>
              <w:br/>
            </w:r>
            <w:r w:rsidRPr="00EC41A7">
              <w:rPr>
                <w:rFonts w:ascii="VIC" w:hAnsi="VIC"/>
                <w:sz w:val="16"/>
                <w:szCs w:val="16"/>
              </w:rPr>
              <w:br/>
            </w:r>
            <w:r w:rsidRPr="00771F32">
              <w:rPr>
                <w:rFonts w:ascii="VIC" w:hAnsi="VIC"/>
                <w:sz w:val="16"/>
                <w:szCs w:val="16"/>
              </w:rPr>
              <w:t xml:space="preserve">Applications must include </w:t>
            </w:r>
            <w:r w:rsidRPr="008B1E6C">
              <w:rPr>
                <w:rFonts w:ascii="VIC" w:hAnsi="VIC"/>
                <w:b/>
                <w:bCs/>
                <w:sz w:val="16"/>
                <w:szCs w:val="16"/>
              </w:rPr>
              <w:t>seven or more</w:t>
            </w:r>
            <w:r w:rsidRPr="008B1E6C">
              <w:rPr>
                <w:rFonts w:ascii="VIC" w:hAnsi="VIC"/>
                <w:sz w:val="16"/>
                <w:szCs w:val="16"/>
              </w:rPr>
              <w:t xml:space="preserve"> </w:t>
            </w:r>
            <w:r w:rsidRPr="008B1E6C">
              <w:rPr>
                <w:rFonts w:ascii="VIC" w:hAnsi="VIC"/>
                <w:b/>
                <w:bCs/>
                <w:sz w:val="16"/>
                <w:szCs w:val="16"/>
              </w:rPr>
              <w:t>Detailed Design examples</w:t>
            </w:r>
            <w:r w:rsidRPr="008B1E6C">
              <w:rPr>
                <w:rFonts w:ascii="VIC" w:hAnsi="VIC"/>
                <w:sz w:val="16"/>
                <w:szCs w:val="16"/>
              </w:rPr>
              <w:t xml:space="preserve"> (for design and analysis of entire structure </w:t>
            </w:r>
            <w:r w:rsidRPr="008B1E6C">
              <w:rPr>
                <w:rFonts w:ascii="VIC" w:hAnsi="VIC"/>
                <w:b/>
                <w:sz w:val="16"/>
                <w:szCs w:val="16"/>
              </w:rPr>
              <w:t xml:space="preserve">to </w:t>
            </w:r>
            <w:r w:rsidRPr="008B1E6C">
              <w:rPr>
                <w:rFonts w:ascii="VIC" w:hAnsi="VIC"/>
                <w:b/>
                <w:bCs/>
                <w:sz w:val="16"/>
                <w:szCs w:val="16"/>
              </w:rPr>
              <w:t>AS5100, no other Australian or other International Standard is admissible</w:t>
            </w:r>
            <w:r w:rsidRPr="008B1E6C">
              <w:rPr>
                <w:rFonts w:ascii="VIC" w:hAnsi="VIC"/>
                <w:sz w:val="16"/>
                <w:szCs w:val="16"/>
              </w:rPr>
              <w:t>)</w:t>
            </w:r>
            <w:r w:rsidRPr="00771F32">
              <w:rPr>
                <w:rFonts w:ascii="VIC" w:hAnsi="VIC"/>
                <w:sz w:val="16"/>
                <w:szCs w:val="16"/>
              </w:rPr>
              <w:t xml:space="preserve">.  from the four listed structure types, </w:t>
            </w:r>
            <w:r w:rsidRPr="008B1E6C">
              <w:rPr>
                <w:rFonts w:ascii="VIC" w:hAnsi="VIC"/>
                <w:bCs/>
                <w:sz w:val="16"/>
                <w:szCs w:val="16"/>
              </w:rPr>
              <w:t>with</w:t>
            </w:r>
            <w:r w:rsidRPr="00771F32">
              <w:rPr>
                <w:rFonts w:ascii="VIC" w:hAnsi="VIC"/>
                <w:b/>
                <w:bCs/>
                <w:sz w:val="16"/>
                <w:szCs w:val="16"/>
              </w:rPr>
              <w:t xml:space="preserve"> at least one of each type, &amp; not more than three of any one type.</w:t>
            </w:r>
          </w:p>
          <w:p w14:paraId="10772BC6" w14:textId="2EB8BDA7" w:rsidR="008B1E6C" w:rsidRPr="00EC41A7" w:rsidRDefault="008B1E6C">
            <w:pPr>
              <w:rPr>
                <w:rFonts w:ascii="VIC" w:hAnsi="VIC"/>
                <w:sz w:val="16"/>
                <w:szCs w:val="16"/>
              </w:rPr>
            </w:pPr>
          </w:p>
          <w:p w14:paraId="2F203D91" w14:textId="46D6F530" w:rsidR="008B1E6C" w:rsidRPr="00EC41A7" w:rsidRDefault="008B1E6C" w:rsidP="00C81590">
            <w:pPr>
              <w:rPr>
                <w:rFonts w:ascii="VIC" w:hAnsi="VIC"/>
                <w:sz w:val="16"/>
                <w:szCs w:val="16"/>
              </w:rPr>
            </w:pPr>
            <w:r w:rsidRPr="00EC41A7">
              <w:rPr>
                <w:rFonts w:ascii="Cambria" w:hAnsi="Cambria" w:cs="Cambria"/>
                <w:sz w:val="16"/>
                <w:szCs w:val="16"/>
              </w:rPr>
              <w:t> </w:t>
            </w:r>
          </w:p>
        </w:tc>
      </w:tr>
      <w:tr w:rsidR="008B1E6C" w:rsidRPr="00EC41A7" w14:paraId="03562FD4" w14:textId="77777777" w:rsidTr="008B1E6C">
        <w:trPr>
          <w:trHeight w:val="505"/>
        </w:trPr>
        <w:tc>
          <w:tcPr>
            <w:tcW w:w="1838" w:type="dxa"/>
            <w:vMerge/>
            <w:hideMark/>
          </w:tcPr>
          <w:p w14:paraId="64893618" w14:textId="77777777" w:rsidR="008B1E6C" w:rsidRPr="00EC41A7" w:rsidRDefault="008B1E6C">
            <w:pPr>
              <w:rPr>
                <w:rFonts w:ascii="VIC" w:hAnsi="VIC"/>
                <w:sz w:val="16"/>
                <w:szCs w:val="16"/>
              </w:rPr>
            </w:pPr>
          </w:p>
        </w:tc>
        <w:tc>
          <w:tcPr>
            <w:tcW w:w="2268" w:type="dxa"/>
            <w:tcBorders>
              <w:right w:val="single" w:sz="4" w:space="0" w:color="auto"/>
            </w:tcBorders>
            <w:noWrap/>
            <w:hideMark/>
          </w:tcPr>
          <w:p w14:paraId="7EED2D08" w14:textId="4D5033FE" w:rsidR="008B1E6C" w:rsidRPr="00EC41A7" w:rsidRDefault="008B1E6C">
            <w:pPr>
              <w:rPr>
                <w:rFonts w:ascii="VIC" w:hAnsi="VIC"/>
                <w:sz w:val="16"/>
                <w:szCs w:val="16"/>
              </w:rPr>
            </w:pPr>
            <w:r w:rsidRPr="00EC41A7">
              <w:rPr>
                <w:rFonts w:ascii="VIC" w:hAnsi="VIC"/>
                <w:sz w:val="16"/>
                <w:szCs w:val="16"/>
              </w:rPr>
              <w:t xml:space="preserve">Bridges with box girders (concrete </w:t>
            </w:r>
            <w:r>
              <w:rPr>
                <w:rFonts w:ascii="VIC" w:hAnsi="VIC"/>
                <w:sz w:val="16"/>
                <w:szCs w:val="16"/>
              </w:rPr>
              <w:t>and</w:t>
            </w:r>
            <w:r w:rsidRPr="00EC41A7">
              <w:rPr>
                <w:rFonts w:ascii="VIC" w:hAnsi="VIC"/>
                <w:sz w:val="16"/>
                <w:szCs w:val="16"/>
              </w:rPr>
              <w:t>/or steel)</w:t>
            </w:r>
          </w:p>
        </w:tc>
        <w:tc>
          <w:tcPr>
            <w:tcW w:w="5977" w:type="dxa"/>
            <w:vMerge/>
            <w:tcBorders>
              <w:left w:val="single" w:sz="4" w:space="0" w:color="auto"/>
            </w:tcBorders>
            <w:noWrap/>
            <w:hideMark/>
          </w:tcPr>
          <w:p w14:paraId="5CD8C6F9" w14:textId="6EF46946" w:rsidR="008B1E6C" w:rsidRPr="00EC41A7" w:rsidRDefault="008B1E6C" w:rsidP="00C81590">
            <w:pPr>
              <w:rPr>
                <w:rFonts w:ascii="VIC" w:hAnsi="VIC"/>
                <w:sz w:val="16"/>
                <w:szCs w:val="16"/>
              </w:rPr>
            </w:pPr>
          </w:p>
        </w:tc>
      </w:tr>
      <w:tr w:rsidR="008B1E6C" w:rsidRPr="00EC41A7" w14:paraId="19E8D82B" w14:textId="77777777" w:rsidTr="00C81590">
        <w:trPr>
          <w:trHeight w:val="288"/>
        </w:trPr>
        <w:tc>
          <w:tcPr>
            <w:tcW w:w="1838" w:type="dxa"/>
            <w:vMerge/>
            <w:hideMark/>
          </w:tcPr>
          <w:p w14:paraId="1C7584AD" w14:textId="77777777" w:rsidR="008B1E6C" w:rsidRPr="00EC41A7" w:rsidRDefault="008B1E6C">
            <w:pPr>
              <w:rPr>
                <w:rFonts w:ascii="VIC" w:hAnsi="VIC"/>
                <w:sz w:val="16"/>
                <w:szCs w:val="16"/>
              </w:rPr>
            </w:pPr>
          </w:p>
        </w:tc>
        <w:tc>
          <w:tcPr>
            <w:tcW w:w="2268" w:type="dxa"/>
            <w:tcBorders>
              <w:right w:val="single" w:sz="4" w:space="0" w:color="auto"/>
            </w:tcBorders>
            <w:noWrap/>
            <w:hideMark/>
          </w:tcPr>
          <w:p w14:paraId="636F9E36" w14:textId="77777777" w:rsidR="008B1E6C" w:rsidRPr="00EC41A7" w:rsidRDefault="008B1E6C">
            <w:pPr>
              <w:rPr>
                <w:rFonts w:ascii="VIC" w:hAnsi="VIC"/>
                <w:sz w:val="16"/>
                <w:szCs w:val="16"/>
              </w:rPr>
            </w:pPr>
            <w:r w:rsidRPr="00EC41A7">
              <w:rPr>
                <w:rFonts w:ascii="VIC" w:hAnsi="VIC"/>
                <w:sz w:val="16"/>
                <w:szCs w:val="16"/>
              </w:rPr>
              <w:t>Bridges with welded steel plate girders</w:t>
            </w:r>
          </w:p>
        </w:tc>
        <w:tc>
          <w:tcPr>
            <w:tcW w:w="5977" w:type="dxa"/>
            <w:vMerge/>
            <w:tcBorders>
              <w:left w:val="single" w:sz="4" w:space="0" w:color="auto"/>
            </w:tcBorders>
            <w:noWrap/>
            <w:hideMark/>
          </w:tcPr>
          <w:p w14:paraId="4AFE53FC" w14:textId="733860A0" w:rsidR="008B1E6C" w:rsidRPr="00EC41A7" w:rsidRDefault="008B1E6C" w:rsidP="00C81590">
            <w:pPr>
              <w:rPr>
                <w:rFonts w:ascii="VIC" w:hAnsi="VIC"/>
                <w:sz w:val="16"/>
                <w:szCs w:val="16"/>
              </w:rPr>
            </w:pPr>
          </w:p>
        </w:tc>
      </w:tr>
      <w:tr w:rsidR="008B1E6C" w:rsidRPr="00EC41A7" w14:paraId="2BF3CEB1" w14:textId="77777777" w:rsidTr="008B1E6C">
        <w:trPr>
          <w:trHeight w:val="405"/>
        </w:trPr>
        <w:tc>
          <w:tcPr>
            <w:tcW w:w="1838" w:type="dxa"/>
            <w:vMerge/>
            <w:hideMark/>
          </w:tcPr>
          <w:p w14:paraId="14B9B97F" w14:textId="77777777" w:rsidR="008B1E6C" w:rsidRPr="00EC41A7" w:rsidRDefault="008B1E6C">
            <w:pPr>
              <w:rPr>
                <w:rFonts w:ascii="VIC" w:hAnsi="VIC"/>
                <w:sz w:val="16"/>
                <w:szCs w:val="16"/>
              </w:rPr>
            </w:pPr>
          </w:p>
        </w:tc>
        <w:tc>
          <w:tcPr>
            <w:tcW w:w="2268" w:type="dxa"/>
            <w:tcBorders>
              <w:right w:val="single" w:sz="4" w:space="0" w:color="auto"/>
            </w:tcBorders>
            <w:noWrap/>
            <w:hideMark/>
          </w:tcPr>
          <w:p w14:paraId="340E08BE" w14:textId="77777777" w:rsidR="008B1E6C" w:rsidRPr="00EC41A7" w:rsidRDefault="008B1E6C">
            <w:pPr>
              <w:rPr>
                <w:rFonts w:ascii="VIC" w:hAnsi="VIC"/>
                <w:sz w:val="16"/>
                <w:szCs w:val="16"/>
              </w:rPr>
            </w:pPr>
            <w:r w:rsidRPr="00EC41A7">
              <w:rPr>
                <w:rFonts w:ascii="VIC" w:hAnsi="VIC"/>
                <w:sz w:val="16"/>
                <w:szCs w:val="16"/>
              </w:rPr>
              <w:t>Bridge widenings &amp;/or strengthening</w:t>
            </w:r>
          </w:p>
        </w:tc>
        <w:tc>
          <w:tcPr>
            <w:tcW w:w="5977" w:type="dxa"/>
            <w:vMerge/>
            <w:tcBorders>
              <w:left w:val="single" w:sz="4" w:space="0" w:color="auto"/>
              <w:bottom w:val="nil"/>
            </w:tcBorders>
            <w:noWrap/>
            <w:hideMark/>
          </w:tcPr>
          <w:p w14:paraId="11D177F6" w14:textId="7A259C1E" w:rsidR="008B1E6C" w:rsidRPr="00EC41A7" w:rsidRDefault="008B1E6C">
            <w:pPr>
              <w:rPr>
                <w:rFonts w:ascii="VIC" w:hAnsi="VIC"/>
                <w:sz w:val="16"/>
                <w:szCs w:val="16"/>
              </w:rPr>
            </w:pPr>
          </w:p>
        </w:tc>
      </w:tr>
      <w:tr w:rsidR="00EC41A7" w:rsidRPr="00EC41A7" w14:paraId="3C419A11" w14:textId="77777777" w:rsidTr="008B1E6C">
        <w:trPr>
          <w:trHeight w:val="950"/>
        </w:trPr>
        <w:tc>
          <w:tcPr>
            <w:tcW w:w="1838" w:type="dxa"/>
            <w:vMerge w:val="restart"/>
            <w:noWrap/>
            <w:hideMark/>
          </w:tcPr>
          <w:p w14:paraId="434D2A3A" w14:textId="77777777" w:rsidR="00EC41A7" w:rsidRPr="00EC41A7" w:rsidRDefault="00EC41A7" w:rsidP="00EC41A7">
            <w:pPr>
              <w:rPr>
                <w:rFonts w:ascii="VIC" w:hAnsi="VIC"/>
                <w:sz w:val="16"/>
                <w:szCs w:val="16"/>
              </w:rPr>
            </w:pPr>
            <w:r w:rsidRPr="00EC41A7">
              <w:rPr>
                <w:rFonts w:ascii="VIC" w:hAnsi="VIC"/>
                <w:sz w:val="16"/>
                <w:szCs w:val="16"/>
              </w:rPr>
              <w:t>2. Specialised Structures</w:t>
            </w:r>
          </w:p>
        </w:tc>
        <w:tc>
          <w:tcPr>
            <w:tcW w:w="2268" w:type="dxa"/>
            <w:hideMark/>
          </w:tcPr>
          <w:p w14:paraId="0259C951" w14:textId="53BA62E2" w:rsidR="00EC41A7" w:rsidRPr="00EC41A7" w:rsidRDefault="00EC41A7">
            <w:pPr>
              <w:rPr>
                <w:rFonts w:ascii="VIC" w:hAnsi="VIC"/>
                <w:sz w:val="16"/>
                <w:szCs w:val="16"/>
              </w:rPr>
            </w:pPr>
            <w:r w:rsidRPr="00EC41A7">
              <w:rPr>
                <w:rFonts w:ascii="VIC" w:hAnsi="VIC"/>
                <w:sz w:val="16"/>
                <w:szCs w:val="16"/>
              </w:rPr>
              <w:t xml:space="preserve">Cable-stayed </w:t>
            </w:r>
            <w:r w:rsidR="00771F32">
              <w:rPr>
                <w:rFonts w:ascii="VIC" w:hAnsi="VIC"/>
                <w:sz w:val="16"/>
                <w:szCs w:val="16"/>
              </w:rPr>
              <w:t>and</w:t>
            </w:r>
            <w:r w:rsidRPr="00EC41A7">
              <w:rPr>
                <w:rFonts w:ascii="VIC" w:hAnsi="VIC"/>
                <w:sz w:val="16"/>
                <w:szCs w:val="16"/>
              </w:rPr>
              <w:t xml:space="preserve">/or suspension </w:t>
            </w:r>
            <w:r w:rsidR="00771F32">
              <w:rPr>
                <w:rFonts w:ascii="VIC" w:hAnsi="VIC"/>
                <w:sz w:val="16"/>
                <w:szCs w:val="16"/>
              </w:rPr>
              <w:t>and</w:t>
            </w:r>
            <w:r w:rsidRPr="00EC41A7">
              <w:rPr>
                <w:rFonts w:ascii="VIC" w:hAnsi="VIC"/>
                <w:sz w:val="16"/>
                <w:szCs w:val="16"/>
              </w:rPr>
              <w:t xml:space="preserve">/or arched </w:t>
            </w:r>
            <w:r w:rsidR="00771F32">
              <w:rPr>
                <w:rFonts w:ascii="VIC" w:hAnsi="VIC"/>
                <w:sz w:val="16"/>
                <w:szCs w:val="16"/>
              </w:rPr>
              <w:t>and</w:t>
            </w:r>
            <w:r w:rsidRPr="00EC41A7">
              <w:rPr>
                <w:rFonts w:ascii="VIC" w:hAnsi="VIC"/>
                <w:sz w:val="16"/>
                <w:szCs w:val="16"/>
              </w:rPr>
              <w:t>/or truss bridge</w:t>
            </w:r>
            <w:r w:rsidR="00771F32">
              <w:rPr>
                <w:rFonts w:ascii="VIC" w:hAnsi="VIC"/>
                <w:sz w:val="16"/>
                <w:szCs w:val="16"/>
              </w:rPr>
              <w:t>s</w:t>
            </w:r>
          </w:p>
        </w:tc>
        <w:tc>
          <w:tcPr>
            <w:tcW w:w="5977" w:type="dxa"/>
            <w:hideMark/>
          </w:tcPr>
          <w:p w14:paraId="498CDE86" w14:textId="415CF137" w:rsidR="00EC41A7" w:rsidRPr="00EC41A7" w:rsidRDefault="00EC41A7">
            <w:pPr>
              <w:rPr>
                <w:rFonts w:ascii="VIC" w:hAnsi="VIC"/>
                <w:sz w:val="16"/>
                <w:szCs w:val="16"/>
              </w:rPr>
            </w:pPr>
            <w:r w:rsidRPr="00771F32">
              <w:rPr>
                <w:rFonts w:ascii="VIC" w:hAnsi="VIC"/>
                <w:sz w:val="16"/>
                <w:szCs w:val="16"/>
              </w:rPr>
              <w:t xml:space="preserve">Applications must include </w:t>
            </w:r>
            <w:r w:rsidRPr="008B1E6C">
              <w:rPr>
                <w:rFonts w:ascii="VIC" w:hAnsi="VIC"/>
                <w:b/>
                <w:bCs/>
                <w:sz w:val="16"/>
                <w:szCs w:val="16"/>
              </w:rPr>
              <w:t>one but not more than two Detailed Design examples</w:t>
            </w:r>
            <w:r w:rsidRPr="008B1E6C">
              <w:rPr>
                <w:rFonts w:ascii="VIC" w:hAnsi="VIC"/>
                <w:sz w:val="16"/>
                <w:szCs w:val="16"/>
              </w:rPr>
              <w:t xml:space="preserve"> (for design and analysis of entire structure </w:t>
            </w:r>
            <w:r w:rsidRPr="008B1E6C">
              <w:rPr>
                <w:rFonts w:ascii="VIC" w:hAnsi="VIC"/>
                <w:b/>
                <w:sz w:val="16"/>
                <w:szCs w:val="16"/>
              </w:rPr>
              <w:t xml:space="preserve">to </w:t>
            </w:r>
            <w:r w:rsidRPr="008B1E6C">
              <w:rPr>
                <w:rFonts w:ascii="VIC" w:hAnsi="VIC"/>
                <w:b/>
                <w:bCs/>
                <w:sz w:val="16"/>
                <w:szCs w:val="16"/>
              </w:rPr>
              <w:t>AS5100 or, subject to the discretion of DTP, any other internationally accepted English standards</w:t>
            </w:r>
            <w:r w:rsidRPr="00771F32">
              <w:rPr>
                <w:rFonts w:ascii="VIC" w:hAnsi="VIC"/>
                <w:b/>
                <w:bCs/>
                <w:sz w:val="16"/>
                <w:szCs w:val="16"/>
              </w:rPr>
              <w:t>)</w:t>
            </w:r>
            <w:r w:rsidRPr="00771F32">
              <w:rPr>
                <w:rFonts w:ascii="VIC" w:hAnsi="VIC"/>
                <w:sz w:val="16"/>
                <w:szCs w:val="16"/>
              </w:rPr>
              <w:t>.</w:t>
            </w:r>
            <w:r w:rsidRPr="00EC41A7">
              <w:rPr>
                <w:rFonts w:ascii="VIC" w:hAnsi="VIC"/>
                <w:sz w:val="16"/>
                <w:szCs w:val="16"/>
              </w:rPr>
              <w:t xml:space="preserve"> </w:t>
            </w:r>
          </w:p>
        </w:tc>
      </w:tr>
      <w:tr w:rsidR="00EC41A7" w:rsidRPr="00EC41A7" w14:paraId="5EC281D5" w14:textId="77777777" w:rsidTr="00EC41A7">
        <w:trPr>
          <w:trHeight w:val="1839"/>
        </w:trPr>
        <w:tc>
          <w:tcPr>
            <w:tcW w:w="1838" w:type="dxa"/>
            <w:vMerge/>
            <w:hideMark/>
          </w:tcPr>
          <w:p w14:paraId="3BC0516C" w14:textId="77777777" w:rsidR="00EC41A7" w:rsidRPr="00EC41A7" w:rsidRDefault="00EC41A7">
            <w:pPr>
              <w:rPr>
                <w:rFonts w:ascii="VIC" w:hAnsi="VIC"/>
                <w:sz w:val="16"/>
                <w:szCs w:val="16"/>
              </w:rPr>
            </w:pPr>
          </w:p>
        </w:tc>
        <w:tc>
          <w:tcPr>
            <w:tcW w:w="2268" w:type="dxa"/>
            <w:hideMark/>
          </w:tcPr>
          <w:p w14:paraId="5C006E81" w14:textId="37FF4363" w:rsidR="00EC41A7" w:rsidRPr="00EC41A7" w:rsidRDefault="00EC41A7">
            <w:pPr>
              <w:rPr>
                <w:rFonts w:ascii="VIC" w:hAnsi="VIC"/>
                <w:sz w:val="16"/>
                <w:szCs w:val="16"/>
              </w:rPr>
            </w:pPr>
            <w:r w:rsidRPr="00EC41A7">
              <w:rPr>
                <w:rFonts w:ascii="VIC" w:hAnsi="VIC"/>
                <w:sz w:val="16"/>
                <w:szCs w:val="16"/>
              </w:rPr>
              <w:t xml:space="preserve">Construction design support (structural assessment of balanced cantilever </w:t>
            </w:r>
            <w:r w:rsidR="00771F32">
              <w:rPr>
                <w:rFonts w:ascii="VIC" w:hAnsi="VIC"/>
                <w:sz w:val="16"/>
                <w:szCs w:val="16"/>
              </w:rPr>
              <w:t>and</w:t>
            </w:r>
            <w:r w:rsidRPr="00EC41A7">
              <w:rPr>
                <w:rFonts w:ascii="VIC" w:hAnsi="VIC"/>
                <w:sz w:val="16"/>
                <w:szCs w:val="16"/>
              </w:rPr>
              <w:t xml:space="preserve">/or segmental </w:t>
            </w:r>
            <w:r w:rsidR="00771F32">
              <w:rPr>
                <w:rFonts w:ascii="VIC" w:hAnsi="VIC"/>
                <w:sz w:val="16"/>
                <w:szCs w:val="16"/>
              </w:rPr>
              <w:t>and</w:t>
            </w:r>
            <w:r w:rsidRPr="00EC41A7">
              <w:rPr>
                <w:rFonts w:ascii="VIC" w:hAnsi="VIC"/>
                <w:sz w:val="16"/>
                <w:szCs w:val="16"/>
              </w:rPr>
              <w:t xml:space="preserve">/or incrementally launched bridges during erection) </w:t>
            </w:r>
            <w:r w:rsidR="00771F32">
              <w:rPr>
                <w:rFonts w:ascii="VIC" w:hAnsi="VIC"/>
                <w:sz w:val="16"/>
                <w:szCs w:val="16"/>
              </w:rPr>
              <w:t>and</w:t>
            </w:r>
            <w:r w:rsidRPr="00EC41A7">
              <w:rPr>
                <w:rFonts w:ascii="VIC" w:hAnsi="VIC"/>
                <w:sz w:val="16"/>
                <w:szCs w:val="16"/>
              </w:rPr>
              <w:t xml:space="preserve">/or Temporary Works (structural design of formwork </w:t>
            </w:r>
            <w:r w:rsidR="00771F32">
              <w:rPr>
                <w:rFonts w:ascii="VIC" w:hAnsi="VIC"/>
                <w:sz w:val="16"/>
                <w:szCs w:val="16"/>
              </w:rPr>
              <w:t>and</w:t>
            </w:r>
            <w:r w:rsidRPr="00EC41A7">
              <w:rPr>
                <w:rFonts w:ascii="VIC" w:hAnsi="VIC"/>
                <w:sz w:val="16"/>
                <w:szCs w:val="16"/>
              </w:rPr>
              <w:t xml:space="preserve"> falsework to facilitate construction of bridges)</w:t>
            </w:r>
          </w:p>
        </w:tc>
        <w:tc>
          <w:tcPr>
            <w:tcW w:w="5977" w:type="dxa"/>
            <w:hideMark/>
          </w:tcPr>
          <w:p w14:paraId="179C35A4" w14:textId="56C901C8" w:rsidR="00EC41A7" w:rsidRPr="00EC41A7" w:rsidRDefault="00EC41A7">
            <w:pPr>
              <w:rPr>
                <w:rFonts w:ascii="VIC" w:hAnsi="VIC"/>
                <w:sz w:val="16"/>
                <w:szCs w:val="16"/>
              </w:rPr>
            </w:pPr>
            <w:r w:rsidRPr="00771F32">
              <w:rPr>
                <w:rFonts w:ascii="VIC" w:hAnsi="VIC"/>
                <w:sz w:val="16"/>
                <w:szCs w:val="16"/>
              </w:rPr>
              <w:t xml:space="preserve">Applications must include </w:t>
            </w:r>
            <w:r w:rsidRPr="008B1E6C">
              <w:rPr>
                <w:rFonts w:ascii="VIC" w:hAnsi="VIC"/>
                <w:b/>
                <w:bCs/>
                <w:sz w:val="16"/>
                <w:szCs w:val="16"/>
              </w:rPr>
              <w:t>one but not more than two Detailed Design examples</w:t>
            </w:r>
            <w:r w:rsidRPr="008B1E6C">
              <w:rPr>
                <w:rFonts w:ascii="VIC" w:hAnsi="VIC"/>
                <w:sz w:val="16"/>
                <w:szCs w:val="16"/>
              </w:rPr>
              <w:t xml:space="preserve"> (for design and analysis of entire structure </w:t>
            </w:r>
            <w:r w:rsidRPr="008B1E6C">
              <w:rPr>
                <w:rFonts w:ascii="VIC" w:hAnsi="VIC"/>
                <w:b/>
                <w:sz w:val="16"/>
                <w:szCs w:val="16"/>
              </w:rPr>
              <w:t>to</w:t>
            </w:r>
            <w:r w:rsidRPr="008B1E6C">
              <w:rPr>
                <w:rFonts w:ascii="VIC" w:hAnsi="VIC"/>
                <w:sz w:val="16"/>
                <w:szCs w:val="16"/>
              </w:rPr>
              <w:t xml:space="preserve"> </w:t>
            </w:r>
            <w:r w:rsidRPr="008B1E6C">
              <w:rPr>
                <w:rFonts w:ascii="VIC" w:hAnsi="VIC"/>
                <w:b/>
                <w:bCs/>
                <w:sz w:val="16"/>
                <w:szCs w:val="16"/>
              </w:rPr>
              <w:t>Australian Standards or, subject to the discretion of DTP, any other internationally accepted English standards)</w:t>
            </w:r>
            <w:r w:rsidRPr="00771F32">
              <w:rPr>
                <w:rFonts w:ascii="VIC" w:hAnsi="VIC"/>
                <w:sz w:val="16"/>
                <w:szCs w:val="16"/>
              </w:rPr>
              <w:t xml:space="preserve">.  </w:t>
            </w:r>
            <w:r w:rsidRPr="00771F32">
              <w:rPr>
                <w:rFonts w:ascii="VIC" w:hAnsi="VIC"/>
                <w:sz w:val="16"/>
                <w:szCs w:val="16"/>
              </w:rPr>
              <w:br/>
            </w:r>
            <w:r w:rsidRPr="00EC41A7">
              <w:rPr>
                <w:rFonts w:ascii="VIC" w:hAnsi="VIC"/>
                <w:sz w:val="16"/>
                <w:szCs w:val="16"/>
              </w:rPr>
              <w:br/>
            </w:r>
          </w:p>
        </w:tc>
      </w:tr>
      <w:tr w:rsidR="00EC41A7" w:rsidRPr="00EC41A7" w14:paraId="747D307F" w14:textId="77777777" w:rsidTr="00EC41A7">
        <w:trPr>
          <w:trHeight w:val="1371"/>
        </w:trPr>
        <w:tc>
          <w:tcPr>
            <w:tcW w:w="1838" w:type="dxa"/>
            <w:vMerge/>
            <w:hideMark/>
          </w:tcPr>
          <w:p w14:paraId="66FBBD7D" w14:textId="77777777" w:rsidR="00EC41A7" w:rsidRPr="00EC41A7" w:rsidRDefault="00EC41A7">
            <w:pPr>
              <w:rPr>
                <w:rFonts w:ascii="VIC" w:hAnsi="VIC"/>
                <w:sz w:val="16"/>
                <w:szCs w:val="16"/>
              </w:rPr>
            </w:pPr>
          </w:p>
        </w:tc>
        <w:tc>
          <w:tcPr>
            <w:tcW w:w="2268" w:type="dxa"/>
            <w:hideMark/>
          </w:tcPr>
          <w:p w14:paraId="62A160F0" w14:textId="20F543F2" w:rsidR="00EC41A7" w:rsidRPr="00EC41A7" w:rsidRDefault="00EC41A7">
            <w:pPr>
              <w:rPr>
                <w:rFonts w:ascii="VIC" w:hAnsi="VIC"/>
                <w:sz w:val="16"/>
                <w:szCs w:val="16"/>
              </w:rPr>
            </w:pPr>
            <w:r w:rsidRPr="00EC41A7">
              <w:rPr>
                <w:rFonts w:ascii="VIC" w:hAnsi="VIC"/>
                <w:sz w:val="16"/>
                <w:szCs w:val="16"/>
              </w:rPr>
              <w:t xml:space="preserve">Gantries </w:t>
            </w:r>
            <w:r w:rsidR="00771F32">
              <w:rPr>
                <w:rFonts w:ascii="VIC" w:hAnsi="VIC"/>
                <w:sz w:val="16"/>
                <w:szCs w:val="16"/>
              </w:rPr>
              <w:t>and</w:t>
            </w:r>
            <w:r w:rsidRPr="00EC41A7">
              <w:rPr>
                <w:rFonts w:ascii="VIC" w:hAnsi="VIC"/>
                <w:sz w:val="16"/>
                <w:szCs w:val="16"/>
              </w:rPr>
              <w:t xml:space="preserve">/or cantilever signs </w:t>
            </w:r>
            <w:r w:rsidR="00771F32">
              <w:rPr>
                <w:rFonts w:ascii="VIC" w:hAnsi="VIC"/>
                <w:sz w:val="16"/>
                <w:szCs w:val="16"/>
              </w:rPr>
              <w:t>and</w:t>
            </w:r>
            <w:r w:rsidRPr="00EC41A7">
              <w:rPr>
                <w:rFonts w:ascii="VIC" w:hAnsi="VIC"/>
                <w:sz w:val="16"/>
                <w:szCs w:val="16"/>
              </w:rPr>
              <w:t>/or high-mast lighting (standalone permanent structures only)</w:t>
            </w:r>
          </w:p>
        </w:tc>
        <w:tc>
          <w:tcPr>
            <w:tcW w:w="5977" w:type="dxa"/>
            <w:hideMark/>
          </w:tcPr>
          <w:p w14:paraId="6410D30B" w14:textId="7C3C502F" w:rsidR="00EC41A7" w:rsidRPr="00EC41A7" w:rsidRDefault="00EC41A7">
            <w:pPr>
              <w:rPr>
                <w:rFonts w:ascii="VIC" w:hAnsi="VIC"/>
                <w:sz w:val="16"/>
                <w:szCs w:val="16"/>
              </w:rPr>
            </w:pPr>
            <w:r w:rsidRPr="00771F32">
              <w:rPr>
                <w:rFonts w:ascii="VIC" w:hAnsi="VIC"/>
                <w:sz w:val="16"/>
                <w:szCs w:val="16"/>
              </w:rPr>
              <w:t xml:space="preserve">Applications must include </w:t>
            </w:r>
            <w:r w:rsidRPr="008B1E6C">
              <w:rPr>
                <w:rFonts w:ascii="VIC" w:hAnsi="VIC"/>
                <w:b/>
                <w:bCs/>
                <w:sz w:val="16"/>
                <w:szCs w:val="16"/>
              </w:rPr>
              <w:t>one but not more than two Detailed Design examples</w:t>
            </w:r>
            <w:r w:rsidRPr="008B1E6C">
              <w:rPr>
                <w:rFonts w:ascii="VIC" w:hAnsi="VIC"/>
                <w:sz w:val="16"/>
                <w:szCs w:val="16"/>
              </w:rPr>
              <w:t xml:space="preserve"> (for design and analysis of entire structure </w:t>
            </w:r>
            <w:r w:rsidRPr="008B1E6C">
              <w:rPr>
                <w:rFonts w:ascii="VIC" w:hAnsi="VIC"/>
                <w:b/>
                <w:sz w:val="16"/>
                <w:szCs w:val="16"/>
              </w:rPr>
              <w:t xml:space="preserve">to </w:t>
            </w:r>
            <w:r w:rsidRPr="008B1E6C">
              <w:rPr>
                <w:rFonts w:ascii="VIC" w:hAnsi="VIC"/>
                <w:b/>
                <w:bCs/>
                <w:sz w:val="16"/>
                <w:szCs w:val="16"/>
              </w:rPr>
              <w:t>AS5100, no other Australian or other International Standard is admissible</w:t>
            </w:r>
            <w:r w:rsidRPr="008B1E6C">
              <w:rPr>
                <w:rFonts w:ascii="VIC" w:hAnsi="VIC"/>
                <w:sz w:val="16"/>
                <w:szCs w:val="16"/>
              </w:rPr>
              <w:t>)</w:t>
            </w:r>
            <w:r w:rsidRPr="00771F32">
              <w:rPr>
                <w:rFonts w:ascii="VIC" w:hAnsi="VIC"/>
                <w:sz w:val="16"/>
                <w:szCs w:val="16"/>
              </w:rPr>
              <w:t>.</w:t>
            </w:r>
            <w:r w:rsidRPr="008B1E6C">
              <w:rPr>
                <w:rFonts w:ascii="VIC" w:hAnsi="VIC"/>
                <w:sz w:val="16"/>
                <w:szCs w:val="16"/>
              </w:rPr>
              <w:t xml:space="preserve"> </w:t>
            </w:r>
            <w:r w:rsidRPr="00771F32">
              <w:rPr>
                <w:rFonts w:ascii="VIC" w:hAnsi="VIC"/>
                <w:sz w:val="16"/>
                <w:szCs w:val="16"/>
              </w:rPr>
              <w:br/>
            </w:r>
            <w:r w:rsidRPr="00EC41A7">
              <w:rPr>
                <w:rFonts w:ascii="VIC" w:hAnsi="VIC"/>
                <w:sz w:val="16"/>
                <w:szCs w:val="16"/>
              </w:rPr>
              <w:br/>
            </w:r>
          </w:p>
        </w:tc>
      </w:tr>
    </w:tbl>
    <w:p w14:paraId="321426CE" w14:textId="77777777" w:rsidR="00EC41A7" w:rsidRDefault="00EC41A7" w:rsidP="00EC41A7">
      <w:pPr>
        <w:rPr>
          <w:rFonts w:ascii="VIC" w:hAnsi="VIC"/>
          <w:i/>
          <w:sz w:val="20"/>
          <w:szCs w:val="20"/>
        </w:rPr>
      </w:pPr>
    </w:p>
    <w:p w14:paraId="04B68DB3" w14:textId="77777777" w:rsidR="00EC41A7" w:rsidRPr="00EC41A7" w:rsidRDefault="00EC41A7" w:rsidP="00EC41A7">
      <w:pPr>
        <w:rPr>
          <w:rFonts w:ascii="VIC" w:hAnsi="VIC"/>
          <w:i/>
          <w:sz w:val="20"/>
          <w:szCs w:val="20"/>
        </w:rPr>
      </w:pPr>
    </w:p>
    <w:p w14:paraId="0571E860" w14:textId="77777777" w:rsidR="00CC0185" w:rsidRPr="00216DEB" w:rsidRDefault="00CC0185" w:rsidP="00CC0185">
      <w:pPr>
        <w:pStyle w:val="Heading2"/>
        <w:rPr>
          <w:rFonts w:ascii="VIC" w:hAnsi="VIC"/>
        </w:rPr>
      </w:pPr>
      <w:r w:rsidRPr="00216DEB">
        <w:rPr>
          <w:rFonts w:ascii="VIC" w:hAnsi="VIC"/>
        </w:rPr>
        <w:t>Spreadsheet</w:t>
      </w:r>
    </w:p>
    <w:p w14:paraId="7DEC6936" w14:textId="77777777" w:rsidR="00CC0185" w:rsidRPr="00301410" w:rsidRDefault="00CC0185" w:rsidP="00CC0185">
      <w:pPr>
        <w:rPr>
          <w:rFonts w:ascii="VIC" w:hAnsi="VIC"/>
          <w:sz w:val="20"/>
          <w:szCs w:val="20"/>
        </w:rPr>
      </w:pPr>
      <w:r w:rsidRPr="00301410">
        <w:rPr>
          <w:rFonts w:ascii="VIC" w:hAnsi="VIC"/>
          <w:sz w:val="20"/>
          <w:szCs w:val="20"/>
        </w:rPr>
        <w:t xml:space="preserve">Please complete the Part B Spreadsheet linked below. </w:t>
      </w:r>
    </w:p>
    <w:p w14:paraId="462C4626" w14:textId="484B1657" w:rsidR="00CC0185" w:rsidRDefault="00CC0185" w:rsidP="00CC0185">
      <w:pPr>
        <w:rPr>
          <w:rFonts w:ascii="VIC" w:eastAsia="Times New Roman" w:hAnsi="VIC" w:cs="Calibri"/>
          <w:sz w:val="20"/>
          <w:szCs w:val="20"/>
          <w:lang w:eastAsia="en-AU"/>
        </w:rPr>
      </w:pPr>
    </w:p>
    <w:p w14:paraId="69C98E54" w14:textId="267D0B06" w:rsidR="0031576A" w:rsidRPr="00CC0185" w:rsidRDefault="00A35134" w:rsidP="00CC0185">
      <w:pPr>
        <w:rPr>
          <w:rFonts w:ascii="VIC" w:eastAsia="Times New Roman" w:hAnsi="VIC" w:cs="Calibri"/>
          <w:sz w:val="20"/>
          <w:szCs w:val="20"/>
          <w:lang w:eastAsia="en-AU"/>
        </w:rPr>
      </w:pPr>
      <w:r>
        <w:rPr>
          <w:rFonts w:ascii="VIC" w:eastAsia="Times New Roman" w:hAnsi="VIC" w:cs="Calibri"/>
          <w:sz w:val="20"/>
          <w:szCs w:val="20"/>
          <w:lang w:eastAsia="en-AU"/>
        </w:rPr>
        <w:object w:dxaOrig="1517" w:dyaOrig="985" w14:anchorId="261CB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10" o:title=""/>
          </v:shape>
          <o:OLEObject Type="Embed" ProgID="Excel.Sheet.12" ShapeID="_x0000_i1027" DrawAspect="Icon" ObjectID="_1825938739" r:id="rId11"/>
        </w:object>
      </w:r>
    </w:p>
    <w:sectPr w:rsidR="0031576A" w:rsidRPr="00CC0185" w:rsidSect="00A962DD">
      <w:headerReference w:type="default" r:id="rId12"/>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53BC" w14:textId="77777777" w:rsidR="008E144E" w:rsidRDefault="008E144E" w:rsidP="00EF050E">
      <w:pPr>
        <w:spacing w:after="0" w:line="240" w:lineRule="auto"/>
      </w:pPr>
      <w:r>
        <w:separator/>
      </w:r>
    </w:p>
  </w:endnote>
  <w:endnote w:type="continuationSeparator" w:id="0">
    <w:p w14:paraId="269BCDDC" w14:textId="77777777" w:rsidR="008E144E" w:rsidRDefault="008E144E"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AED8" w14:textId="77777777" w:rsidR="008E144E" w:rsidRDefault="008E144E" w:rsidP="00EF050E">
      <w:pPr>
        <w:spacing w:after="0" w:line="240" w:lineRule="auto"/>
      </w:pPr>
      <w:r>
        <w:separator/>
      </w:r>
    </w:p>
  </w:footnote>
  <w:footnote w:type="continuationSeparator" w:id="0">
    <w:p w14:paraId="6989A053" w14:textId="77777777" w:rsidR="008E144E" w:rsidRDefault="008E144E"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952D8"/>
    <w:multiLevelType w:val="hybridMultilevel"/>
    <w:tmpl w:val="1B14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5"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8"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ADB56B4"/>
    <w:multiLevelType w:val="hybridMultilevel"/>
    <w:tmpl w:val="7B4A3742"/>
    <w:lvl w:ilvl="0" w:tplc="9306B566">
      <w:start w:val="2"/>
      <w:numFmt w:val="bullet"/>
      <w:lvlText w:val="•"/>
      <w:lvlJc w:val="left"/>
      <w:pPr>
        <w:ind w:left="720" w:hanging="360"/>
      </w:pPr>
      <w:rPr>
        <w:rFonts w:ascii="VIC" w:eastAsia="Times New Roman" w:hAnsi="VIC"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4025F2"/>
    <w:multiLevelType w:val="hybridMultilevel"/>
    <w:tmpl w:val="BF3C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58F68DE"/>
    <w:multiLevelType w:val="hybridMultilevel"/>
    <w:tmpl w:val="92D8F73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15"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25A319C"/>
    <w:multiLevelType w:val="hybridMultilevel"/>
    <w:tmpl w:val="BAA28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30"/>
  </w:num>
  <w:num w:numId="2" w16cid:durableId="365838606">
    <w:abstractNumId w:val="7"/>
  </w:num>
  <w:num w:numId="3" w16cid:durableId="2112700271">
    <w:abstractNumId w:val="25"/>
  </w:num>
  <w:num w:numId="4" w16cid:durableId="2144077539">
    <w:abstractNumId w:val="28"/>
  </w:num>
  <w:num w:numId="5" w16cid:durableId="1456680545">
    <w:abstractNumId w:val="5"/>
    <w:lvlOverride w:ilvl="0">
      <w:startOverride w:val="1"/>
    </w:lvlOverride>
    <w:lvlOverride w:ilvl="1"/>
    <w:lvlOverride w:ilvl="2"/>
    <w:lvlOverride w:ilvl="3"/>
    <w:lvlOverride w:ilvl="4"/>
    <w:lvlOverride w:ilvl="5"/>
    <w:lvlOverride w:ilvl="6"/>
    <w:lvlOverride w:ilvl="7"/>
    <w:lvlOverride w:ilvl="8"/>
  </w:num>
  <w:num w:numId="6" w16cid:durableId="1128620918">
    <w:abstractNumId w:val="2"/>
    <w:lvlOverride w:ilvl="0">
      <w:startOverride w:val="1"/>
    </w:lvlOverride>
    <w:lvlOverride w:ilvl="1"/>
    <w:lvlOverride w:ilvl="2"/>
    <w:lvlOverride w:ilvl="3"/>
    <w:lvlOverride w:ilvl="4"/>
    <w:lvlOverride w:ilvl="5"/>
    <w:lvlOverride w:ilvl="6"/>
    <w:lvlOverride w:ilvl="7"/>
    <w:lvlOverride w:ilvl="8"/>
  </w:num>
  <w:num w:numId="7" w16cid:durableId="2041347509">
    <w:abstractNumId w:val="29"/>
  </w:num>
  <w:num w:numId="8" w16cid:durableId="1364598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3"/>
    <w:lvlOverride w:ilvl="0">
      <w:startOverride w:val="1"/>
    </w:lvlOverride>
    <w:lvlOverride w:ilvl="1"/>
    <w:lvlOverride w:ilvl="2"/>
    <w:lvlOverride w:ilvl="3"/>
    <w:lvlOverride w:ilvl="4"/>
    <w:lvlOverride w:ilvl="5"/>
    <w:lvlOverride w:ilvl="6"/>
    <w:lvlOverride w:ilvl="7"/>
    <w:lvlOverride w:ilvl="8"/>
  </w:num>
  <w:num w:numId="10" w16cid:durableId="1746489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26"/>
  </w:num>
  <w:num w:numId="14" w16cid:durableId="669718050">
    <w:abstractNumId w:val="23"/>
  </w:num>
  <w:num w:numId="15" w16cid:durableId="775447243">
    <w:abstractNumId w:val="24"/>
  </w:num>
  <w:num w:numId="16" w16cid:durableId="1559173327">
    <w:abstractNumId w:val="4"/>
  </w:num>
  <w:num w:numId="17" w16cid:durableId="285042894">
    <w:abstractNumId w:val="14"/>
  </w:num>
  <w:num w:numId="18" w16cid:durableId="1878852401">
    <w:abstractNumId w:val="6"/>
  </w:num>
  <w:num w:numId="19" w16cid:durableId="957419769">
    <w:abstractNumId w:val="22"/>
  </w:num>
  <w:num w:numId="20" w16cid:durableId="1623879105">
    <w:abstractNumId w:val="27"/>
  </w:num>
  <w:num w:numId="21" w16cid:durableId="1886678136">
    <w:abstractNumId w:val="0"/>
  </w:num>
  <w:num w:numId="22" w16cid:durableId="1806318152">
    <w:abstractNumId w:val="19"/>
  </w:num>
  <w:num w:numId="23" w16cid:durableId="1559779491">
    <w:abstractNumId w:val="15"/>
  </w:num>
  <w:num w:numId="24" w16cid:durableId="708845398">
    <w:abstractNumId w:val="21"/>
  </w:num>
  <w:num w:numId="25" w16cid:durableId="2097818030">
    <w:abstractNumId w:val="11"/>
  </w:num>
  <w:num w:numId="26" w16cid:durableId="948897442">
    <w:abstractNumId w:val="13"/>
  </w:num>
  <w:num w:numId="27" w16cid:durableId="19161265">
    <w:abstractNumId w:val="16"/>
  </w:num>
  <w:num w:numId="28" w16cid:durableId="1083841058">
    <w:abstractNumId w:val="10"/>
  </w:num>
  <w:num w:numId="29" w16cid:durableId="1915121307">
    <w:abstractNumId w:val="1"/>
  </w:num>
  <w:num w:numId="30" w16cid:durableId="761491786">
    <w:abstractNumId w:val="18"/>
  </w:num>
  <w:num w:numId="31" w16cid:durableId="1506280562">
    <w:abstractNumId w:val="9"/>
  </w:num>
  <w:num w:numId="32" w16cid:durableId="159436300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00E75"/>
    <w:rsid w:val="00014A09"/>
    <w:rsid w:val="000E04CD"/>
    <w:rsid w:val="00100F65"/>
    <w:rsid w:val="00161607"/>
    <w:rsid w:val="00161732"/>
    <w:rsid w:val="0016572B"/>
    <w:rsid w:val="0016708E"/>
    <w:rsid w:val="001D3ADF"/>
    <w:rsid w:val="00202691"/>
    <w:rsid w:val="00291FC7"/>
    <w:rsid w:val="00301410"/>
    <w:rsid w:val="00305C27"/>
    <w:rsid w:val="0031576A"/>
    <w:rsid w:val="00352DA0"/>
    <w:rsid w:val="0036589E"/>
    <w:rsid w:val="00397ABE"/>
    <w:rsid w:val="003C18A1"/>
    <w:rsid w:val="003C73EC"/>
    <w:rsid w:val="003D0B4A"/>
    <w:rsid w:val="00403632"/>
    <w:rsid w:val="004669F6"/>
    <w:rsid w:val="004A5566"/>
    <w:rsid w:val="004B780A"/>
    <w:rsid w:val="004E2654"/>
    <w:rsid w:val="004E2F93"/>
    <w:rsid w:val="0056449A"/>
    <w:rsid w:val="005841E5"/>
    <w:rsid w:val="00595805"/>
    <w:rsid w:val="005D0387"/>
    <w:rsid w:val="005E2920"/>
    <w:rsid w:val="005F68F4"/>
    <w:rsid w:val="006A4752"/>
    <w:rsid w:val="006B0B8B"/>
    <w:rsid w:val="00714670"/>
    <w:rsid w:val="00746F88"/>
    <w:rsid w:val="00763FE2"/>
    <w:rsid w:val="00771F32"/>
    <w:rsid w:val="00782758"/>
    <w:rsid w:val="007C67D7"/>
    <w:rsid w:val="007F68B9"/>
    <w:rsid w:val="00851EEF"/>
    <w:rsid w:val="008A6485"/>
    <w:rsid w:val="008B1E6C"/>
    <w:rsid w:val="008C7A92"/>
    <w:rsid w:val="008E144E"/>
    <w:rsid w:val="008F67E3"/>
    <w:rsid w:val="009029F9"/>
    <w:rsid w:val="00913F3E"/>
    <w:rsid w:val="00990E42"/>
    <w:rsid w:val="009953DB"/>
    <w:rsid w:val="0099730C"/>
    <w:rsid w:val="00A22824"/>
    <w:rsid w:val="00A33429"/>
    <w:rsid w:val="00A35134"/>
    <w:rsid w:val="00A81350"/>
    <w:rsid w:val="00A962DD"/>
    <w:rsid w:val="00A97FE7"/>
    <w:rsid w:val="00AE5EC1"/>
    <w:rsid w:val="00B10112"/>
    <w:rsid w:val="00B1212F"/>
    <w:rsid w:val="00B66A9E"/>
    <w:rsid w:val="00B875F9"/>
    <w:rsid w:val="00BD531D"/>
    <w:rsid w:val="00BD619E"/>
    <w:rsid w:val="00BE13E0"/>
    <w:rsid w:val="00C21D78"/>
    <w:rsid w:val="00C3539D"/>
    <w:rsid w:val="00C528BD"/>
    <w:rsid w:val="00C65DD7"/>
    <w:rsid w:val="00C8322E"/>
    <w:rsid w:val="00CC0185"/>
    <w:rsid w:val="00D121FD"/>
    <w:rsid w:val="00D34E34"/>
    <w:rsid w:val="00DC2E8E"/>
    <w:rsid w:val="00E71C3A"/>
    <w:rsid w:val="00EC41A7"/>
    <w:rsid w:val="00EC6175"/>
    <w:rsid w:val="00ED0BD5"/>
    <w:rsid w:val="00EF050E"/>
    <w:rsid w:val="00EF4744"/>
    <w:rsid w:val="00F07769"/>
    <w:rsid w:val="00F669F5"/>
    <w:rsid w:val="00FA37AC"/>
    <w:rsid w:val="00FB3F93"/>
    <w:rsid w:val="00FC7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prequal@transport.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6998</Characters>
  <Application>Microsoft Office Word</Application>
  <DocSecurity>0</DocSecurity>
  <Lines>437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2</cp:revision>
  <dcterms:created xsi:type="dcterms:W3CDTF">2025-11-29T05:22:00Z</dcterms:created>
  <dcterms:modified xsi:type="dcterms:W3CDTF">2025-11-29T05:22:00Z</dcterms:modified>
</cp:coreProperties>
</file>