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rPr>
          <w:color w:val="4EA72E" w:themeColor="accent6"/>
          <w:sz w:val="36"/>
          <w:szCs w:val="20"/>
        </w:rPr>
      </w:sdtEndPr>
      <w:sdtContent>
        <w:p w14:paraId="7917F952" w14:textId="655FFAEA" w:rsidR="00EF050E" w:rsidRPr="00EF050E" w:rsidRDefault="00EF050E" w:rsidP="00EF050E">
          <w:pPr>
            <w:pStyle w:val="LightDocumentType"/>
            <w:rPr>
              <w:rFonts w:ascii="VIC" w:hAnsi="VIC"/>
            </w:rPr>
          </w:pPr>
        </w:p>
        <w:p w14:paraId="27C4C13E" w14:textId="673A1BD0" w:rsidR="00EF050E" w:rsidRPr="002A1BA5" w:rsidRDefault="00EF050E" w:rsidP="007136BF">
          <w:pPr>
            <w:pStyle w:val="LightReportTite"/>
            <w:rPr>
              <w:rFonts w:ascii="VIC" w:hAnsi="VIC"/>
            </w:rPr>
          </w:pPr>
          <w:r w:rsidRPr="002A1BA5">
            <w:rPr>
              <w:rFonts w:ascii="VIC" w:hAnsi="VIC"/>
              <w:noProof/>
            </w:rPr>
            <w:drawing>
              <wp:anchor distT="0" distB="0" distL="114300" distR="114300" simplePos="0" relativeHeight="251660288" behindDoc="1" locked="0" layoutInCell="1" allowOverlap="1" wp14:anchorId="76CD3688" wp14:editId="223446FB">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2A1BA5">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2A1BA5">
            <w:rPr>
              <w:rFonts w:ascii="VIC" w:hAnsi="VIC"/>
            </w:rPr>
            <w:t xml:space="preserve">Part B – </w:t>
          </w:r>
          <w:r w:rsidR="00AD7D44" w:rsidRPr="00AD7D44">
            <w:rPr>
              <w:rFonts w:ascii="VIC" w:hAnsi="VIC"/>
            </w:rPr>
            <w:t xml:space="preserve">Freeways (TOF) </w:t>
          </w:r>
          <w:r w:rsidR="00892ECD">
            <w:rPr>
              <w:rFonts w:ascii="VIC" w:hAnsi="VIC"/>
            </w:rPr>
            <w:t xml:space="preserve">Level </w:t>
          </w:r>
          <w:r w:rsidR="004F593C">
            <w:rPr>
              <w:rFonts w:ascii="VIC" w:hAnsi="VIC"/>
            </w:rPr>
            <w:t>Application</w:t>
          </w:r>
          <w:r w:rsidR="003D0B4A" w:rsidRPr="002A1BA5">
            <w:rPr>
              <w:rFonts w:ascii="VIC" w:hAnsi="VIC"/>
            </w:rPr>
            <w:t xml:space="preserve"> </w:t>
          </w:r>
        </w:p>
        <w:p w14:paraId="6F1E87BB" w14:textId="0A089BA3" w:rsidR="00EF050E" w:rsidRPr="00EF050E" w:rsidRDefault="00EF050E" w:rsidP="00892ECD">
          <w:pPr>
            <w:pStyle w:val="LightReportSubtitle"/>
            <w:rPr>
              <w:rFonts w:ascii="VIC" w:hAnsi="VIC"/>
            </w:rPr>
          </w:pPr>
          <w:r w:rsidRPr="00EF050E">
            <w:rPr>
              <w:rFonts w:ascii="VIC" w:hAnsi="VIC"/>
            </w:rPr>
            <w:br w:type="page"/>
          </w:r>
        </w:p>
      </w:sdtContent>
    </w:sdt>
    <w:p w14:paraId="78C45189" w14:textId="77777777" w:rsidR="00774816" w:rsidRDefault="00774816"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p>
    <w:p w14:paraId="58BE534C" w14:textId="77777777" w:rsidR="00B66AFD"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t>Part B</w:t>
      </w:r>
    </w:p>
    <w:p w14:paraId="188E7C5A" w14:textId="77777777" w:rsidR="00B66AFD" w:rsidRPr="00A227F3" w:rsidRDefault="00B66AFD" w:rsidP="00B66AFD">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1C804B72" w14:textId="77777777" w:rsidR="00774816" w:rsidRDefault="00774816" w:rsidP="00774816">
      <w:pPr>
        <w:rPr>
          <w:kern w:val="2"/>
          <w14:ligatures w14:val="standardContextual"/>
        </w:rPr>
      </w:pPr>
    </w:p>
    <w:p w14:paraId="67F914CF" w14:textId="361C52EA" w:rsidR="00C26958" w:rsidRPr="00C26958" w:rsidRDefault="00C26958" w:rsidP="00774816">
      <w:pPr>
        <w:rPr>
          <w:rFonts w:ascii="VIC" w:hAnsi="VIC"/>
          <w:kern w:val="2"/>
          <w:sz w:val="20"/>
          <w:szCs w:val="20"/>
          <w14:ligatures w14:val="standardContextual"/>
        </w:rPr>
      </w:pPr>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00DB08CB" w14:textId="212D7548" w:rsidR="00774816" w:rsidRPr="00A227F3" w:rsidRDefault="00774816" w:rsidP="00774816">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6DED05F2" w14:textId="77777777" w:rsidR="00774816" w:rsidRPr="00A227F3" w:rsidRDefault="00774816" w:rsidP="009A4C87">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390A0994" w14:textId="77777777" w:rsidR="00774816" w:rsidRPr="00A227F3" w:rsidRDefault="00774816" w:rsidP="009A4C87">
      <w:pPr>
        <w:pStyle w:val="ListParagraph"/>
        <w:numPr>
          <w:ilvl w:val="1"/>
          <w:numId w:val="5"/>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6C52F303" w14:textId="77777777" w:rsidR="00774816" w:rsidRPr="00FC2B38" w:rsidRDefault="00774816" w:rsidP="00774816">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45419ECB" w14:textId="77777777" w:rsidR="00774816" w:rsidRPr="00A227F3" w:rsidRDefault="00774816" w:rsidP="009A4C87">
      <w:pPr>
        <w:pStyle w:val="ListParagraph"/>
        <w:widowControl w:val="0"/>
        <w:numPr>
          <w:ilvl w:val="0"/>
          <w:numId w:val="3"/>
        </w:numPr>
        <w:spacing w:after="0" w:line="240" w:lineRule="auto"/>
        <w:rPr>
          <w:rFonts w:ascii="VIC" w:hAnsi="VIC"/>
          <w:sz w:val="20"/>
          <w:szCs w:val="20"/>
        </w:rPr>
      </w:pPr>
      <w:bookmarkStart w:id="0" w:name="_Hlk199688864"/>
      <w:r w:rsidRPr="00A227F3">
        <w:rPr>
          <w:rFonts w:ascii="VIC" w:hAnsi="VIC"/>
          <w:sz w:val="20"/>
          <w:szCs w:val="20"/>
        </w:rPr>
        <w:t>Applications will only be considered where all the requirements of the Part A and Part B applications forms are completed</w:t>
      </w:r>
    </w:p>
    <w:p w14:paraId="0175B062" w14:textId="77777777" w:rsidR="00774816" w:rsidRPr="00A227F3" w:rsidRDefault="00774816" w:rsidP="009A4C87">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1AFC62E4" w14:textId="3EE7908F" w:rsidR="00774816" w:rsidRPr="00A227F3" w:rsidRDefault="00774816" w:rsidP="009A4C87">
      <w:pPr>
        <w:pStyle w:val="ListParagraph"/>
        <w:widowControl w:val="0"/>
        <w:numPr>
          <w:ilvl w:val="0"/>
          <w:numId w:val="3"/>
        </w:numPr>
        <w:spacing w:after="0" w:line="240" w:lineRule="auto"/>
        <w:rPr>
          <w:rFonts w:ascii="VIC" w:hAnsi="VIC"/>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be in English. </w:t>
      </w:r>
    </w:p>
    <w:p w14:paraId="5F6A7CA6" w14:textId="1B37958C" w:rsidR="00774816" w:rsidRPr="00C26958" w:rsidRDefault="00774816" w:rsidP="009A4C87">
      <w:pPr>
        <w:pStyle w:val="ListParagraph"/>
        <w:widowControl w:val="0"/>
        <w:numPr>
          <w:ilvl w:val="0"/>
          <w:numId w:val="3"/>
        </w:numPr>
        <w:spacing w:after="0" w:line="240" w:lineRule="auto"/>
        <w:rPr>
          <w:rFonts w:ascii="VIC" w:hAnsi="VIC"/>
          <w:b/>
          <w:sz w:val="20"/>
          <w:szCs w:val="20"/>
        </w:rPr>
      </w:pPr>
      <w:r w:rsidRPr="00A227F3">
        <w:rPr>
          <w:rFonts w:ascii="VIC" w:hAnsi="VIC"/>
          <w:sz w:val="20"/>
          <w:szCs w:val="20"/>
        </w:rPr>
        <w:t xml:space="preserve">Supporting documents </w:t>
      </w:r>
      <w:r w:rsidR="00892ECD">
        <w:rPr>
          <w:rFonts w:ascii="VIC" w:hAnsi="VIC"/>
          <w:sz w:val="20"/>
          <w:szCs w:val="20"/>
        </w:rPr>
        <w:t>must</w:t>
      </w:r>
      <w:r w:rsidRPr="00A227F3">
        <w:rPr>
          <w:rFonts w:ascii="VIC" w:hAnsi="VIC"/>
          <w:sz w:val="20"/>
          <w:szCs w:val="20"/>
        </w:rPr>
        <w:t xml:space="preserve"> not have any redacted sections. </w:t>
      </w:r>
    </w:p>
    <w:p w14:paraId="29B06AAC" w14:textId="77777777" w:rsidR="00C26958" w:rsidRDefault="00C26958" w:rsidP="00C26958">
      <w:pPr>
        <w:pStyle w:val="ListParagraph"/>
        <w:widowControl w:val="0"/>
        <w:spacing w:after="0" w:line="240" w:lineRule="auto"/>
        <w:rPr>
          <w:rFonts w:ascii="VIC" w:hAnsi="VIC"/>
          <w:b/>
          <w:sz w:val="20"/>
          <w:szCs w:val="20"/>
        </w:rPr>
      </w:pPr>
    </w:p>
    <w:p w14:paraId="0FC4266F" w14:textId="77777777" w:rsidR="00C26958" w:rsidRPr="00A227F3" w:rsidRDefault="00C26958" w:rsidP="00C26958">
      <w:pPr>
        <w:pStyle w:val="ListParagraph"/>
        <w:widowControl w:val="0"/>
        <w:spacing w:after="0" w:line="240" w:lineRule="auto"/>
        <w:rPr>
          <w:rFonts w:ascii="VIC" w:hAnsi="VIC"/>
          <w:b/>
          <w:sz w:val="20"/>
          <w:szCs w:val="20"/>
        </w:rPr>
      </w:pPr>
    </w:p>
    <w:bookmarkEnd w:id="0"/>
    <w:p w14:paraId="6C36D432" w14:textId="77777777" w:rsidR="00C26958" w:rsidRPr="00EE2D8C" w:rsidRDefault="00C26958" w:rsidP="00C2695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5485C616" w14:textId="77777777" w:rsidR="00892ECD" w:rsidRDefault="00774816" w:rsidP="00892ECD">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05193DB7" w14:textId="7E9FD39A" w:rsidR="00C26958" w:rsidRPr="00892ECD" w:rsidRDefault="00C26958" w:rsidP="009A4C87">
      <w:pPr>
        <w:pStyle w:val="ListParagraph"/>
        <w:keepNext/>
        <w:keepLines/>
        <w:numPr>
          <w:ilvl w:val="0"/>
          <w:numId w:val="6"/>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10" w:history="1">
        <w:r w:rsidRPr="00892ECD">
          <w:rPr>
            <w:rFonts w:ascii="VIC" w:hAnsi="VIC"/>
            <w:color w:val="0000FF"/>
            <w:kern w:val="2"/>
            <w:sz w:val="20"/>
            <w:szCs w:val="20"/>
            <w:u w:val="single"/>
            <w14:ligatures w14:val="standardContextual"/>
          </w:rPr>
          <w:t>prequal@transport.vic.gov.au</w:t>
        </w:r>
      </w:hyperlink>
    </w:p>
    <w:p w14:paraId="1540C0D5" w14:textId="27DDDAA2" w:rsidR="00774816" w:rsidRDefault="00774816" w:rsidP="00774816">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Applications will only be accepted from cloud based storage services</w:t>
      </w:r>
    </w:p>
    <w:p w14:paraId="4FCCAB08" w14:textId="77777777" w:rsidR="00892ECD" w:rsidRPr="00A227F3" w:rsidRDefault="00892ECD" w:rsidP="00774816">
      <w:pPr>
        <w:ind w:left="720"/>
        <w:contextualSpacing/>
        <w:rPr>
          <w:rFonts w:ascii="VIC" w:hAnsi="VIC"/>
          <w:b/>
          <w:i/>
          <w:kern w:val="2"/>
          <w:sz w:val="20"/>
          <w:szCs w:val="20"/>
          <w14:ligatures w14:val="standardContextual"/>
        </w:rPr>
      </w:pPr>
    </w:p>
    <w:p w14:paraId="70326346" w14:textId="77777777" w:rsidR="00774816" w:rsidRPr="00A227F3" w:rsidRDefault="00774816" w:rsidP="009A4C87">
      <w:pPr>
        <w:numPr>
          <w:ilvl w:val="0"/>
          <w:numId w:val="4"/>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30463131" w14:textId="77777777" w:rsidR="00774816" w:rsidRDefault="00774816" w:rsidP="00774816"/>
    <w:p w14:paraId="3819361D" w14:textId="77777777" w:rsidR="00774816" w:rsidRDefault="00774816" w:rsidP="00774816"/>
    <w:p w14:paraId="708103C5" w14:textId="77777777" w:rsidR="00774816" w:rsidRDefault="00774816" w:rsidP="00774816"/>
    <w:p w14:paraId="12CE5577" w14:textId="77777777" w:rsidR="00C26958" w:rsidRDefault="00C26958" w:rsidP="00774816"/>
    <w:p w14:paraId="00FA78E3" w14:textId="77777777" w:rsidR="00C26958" w:rsidRDefault="00C26958" w:rsidP="00774816"/>
    <w:p w14:paraId="21BEC049" w14:textId="77777777" w:rsidR="00C26958" w:rsidRPr="00774816" w:rsidRDefault="00C26958" w:rsidP="00774816"/>
    <w:p w14:paraId="7334FE0B" w14:textId="77777777" w:rsidR="00774816" w:rsidRDefault="00774816" w:rsidP="003D0B4A">
      <w:pPr>
        <w:pStyle w:val="Subtitle"/>
        <w:rPr>
          <w:sz w:val="48"/>
          <w:szCs w:val="48"/>
        </w:rPr>
      </w:pPr>
    </w:p>
    <w:p w14:paraId="4BB32CFC" w14:textId="101C8654" w:rsidR="003D0B4A" w:rsidRPr="004F593C" w:rsidRDefault="003D0B4A" w:rsidP="006763AC">
      <w:pPr>
        <w:pStyle w:val="Subtitle"/>
        <w:spacing w:after="0" w:line="240" w:lineRule="auto"/>
        <w:rPr>
          <w:rFonts w:ascii="VIC" w:hAnsi="VIC"/>
          <w:color w:val="0F4761" w:themeColor="accent1" w:themeShade="BF"/>
          <w:spacing w:val="0"/>
          <w:sz w:val="40"/>
          <w:szCs w:val="40"/>
        </w:rPr>
      </w:pPr>
      <w:r w:rsidRPr="004F593C">
        <w:rPr>
          <w:rFonts w:ascii="VIC" w:hAnsi="VIC"/>
          <w:color w:val="0F4761" w:themeColor="accent1" w:themeShade="BF"/>
          <w:spacing w:val="0"/>
          <w:sz w:val="40"/>
          <w:szCs w:val="40"/>
        </w:rPr>
        <w:lastRenderedPageBreak/>
        <w:t xml:space="preserve">Part B </w:t>
      </w:r>
    </w:p>
    <w:p w14:paraId="00154EC8" w14:textId="54E5AD10" w:rsidR="002A1BA5" w:rsidRPr="002B4F40" w:rsidRDefault="00AD7D44" w:rsidP="006763AC">
      <w:pPr>
        <w:spacing w:after="0" w:line="240" w:lineRule="auto"/>
        <w:rPr>
          <w:rFonts w:ascii="VIC" w:eastAsiaTheme="majorEastAsia" w:hAnsi="VIC" w:cstheme="majorBidi"/>
          <w:color w:val="0F4761" w:themeColor="accent1" w:themeShade="BF"/>
          <w:sz w:val="32"/>
          <w:szCs w:val="32"/>
        </w:rPr>
      </w:pPr>
      <w:r w:rsidRPr="00AD7D44">
        <w:rPr>
          <w:rFonts w:ascii="VIC" w:eastAsiaTheme="majorEastAsia" w:hAnsi="VIC" w:cstheme="majorBidi"/>
          <w:color w:val="0F4761" w:themeColor="accent1" w:themeShade="BF"/>
          <w:sz w:val="32"/>
          <w:szCs w:val="32"/>
        </w:rPr>
        <w:t xml:space="preserve">Freeways (TOF) </w:t>
      </w:r>
      <w:r w:rsidR="004F593C" w:rsidRPr="002B4F40">
        <w:rPr>
          <w:rFonts w:ascii="VIC" w:eastAsiaTheme="majorEastAsia" w:hAnsi="VIC" w:cstheme="majorBidi"/>
          <w:color w:val="0F4761" w:themeColor="accent1" w:themeShade="BF"/>
          <w:sz w:val="32"/>
          <w:szCs w:val="32"/>
        </w:rPr>
        <w:t xml:space="preserve">Level </w:t>
      </w:r>
    </w:p>
    <w:p w14:paraId="164BC53F" w14:textId="77777777" w:rsidR="002A1BA5" w:rsidRDefault="002A1BA5" w:rsidP="002A1BA5">
      <w:pPr>
        <w:spacing w:after="0" w:line="240" w:lineRule="auto"/>
        <w:rPr>
          <w:rFonts w:ascii="VIC" w:eastAsiaTheme="majorEastAsia" w:hAnsi="VIC" w:cstheme="majorBidi"/>
          <w:color w:val="0F4761" w:themeColor="accent1" w:themeShade="BF"/>
          <w:sz w:val="32"/>
          <w:szCs w:val="32"/>
        </w:rPr>
      </w:pPr>
    </w:p>
    <w:p w14:paraId="2526D284" w14:textId="1BC217BC" w:rsidR="003D0B4A" w:rsidRDefault="003D0B4A" w:rsidP="003D0B4A">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About this Level</w:t>
      </w:r>
    </w:p>
    <w:p w14:paraId="53C89D15" w14:textId="26D71772" w:rsidR="001B1041" w:rsidRPr="00DE6AF7" w:rsidRDefault="001B1041" w:rsidP="001B1041">
      <w:pPr>
        <w:rPr>
          <w:rFonts w:ascii="VIC" w:hAnsi="VIC"/>
          <w:sz w:val="20"/>
        </w:rPr>
      </w:pPr>
      <w:r w:rsidRPr="00D16E76">
        <w:rPr>
          <w:rFonts w:ascii="VIC" w:hAnsi="VIC"/>
          <w:sz w:val="20"/>
        </w:rPr>
        <w:t xml:space="preserve">This pre-qualification level </w:t>
      </w:r>
      <w:r w:rsidR="00A57899" w:rsidRPr="00D16E76">
        <w:rPr>
          <w:rFonts w:ascii="VIC" w:hAnsi="VIC"/>
          <w:sz w:val="20"/>
        </w:rPr>
        <w:t>involves</w:t>
      </w:r>
      <w:r w:rsidRPr="00D16E76">
        <w:rPr>
          <w:rFonts w:ascii="VIC" w:hAnsi="VIC"/>
          <w:sz w:val="20"/>
        </w:rPr>
        <w:t xml:space="preserve"> undertak</w:t>
      </w:r>
      <w:r w:rsidR="00A57899" w:rsidRPr="00D16E76">
        <w:rPr>
          <w:rFonts w:ascii="VIC" w:hAnsi="VIC"/>
          <w:sz w:val="20"/>
        </w:rPr>
        <w:t xml:space="preserve">ing </w:t>
      </w:r>
      <w:r w:rsidRPr="00D16E76">
        <w:rPr>
          <w:rFonts w:ascii="VIC" w:hAnsi="VIC"/>
          <w:sz w:val="20"/>
        </w:rPr>
        <w:t xml:space="preserve">analysis, design (Concept </w:t>
      </w:r>
      <w:r w:rsidR="00A57899" w:rsidRPr="00D16E76">
        <w:rPr>
          <w:rFonts w:ascii="VIC" w:hAnsi="VIC"/>
          <w:sz w:val="20"/>
        </w:rPr>
        <w:t>design</w:t>
      </w:r>
      <w:r w:rsidRPr="00D16E76">
        <w:rPr>
          <w:rFonts w:ascii="VIC" w:hAnsi="VIC"/>
          <w:sz w:val="20"/>
        </w:rPr>
        <w:t>) and planning of urban freeways / motorways to optimise operations and its performance.</w:t>
      </w:r>
      <w:r w:rsidRPr="00DE6AF7">
        <w:rPr>
          <w:rFonts w:ascii="VIC" w:hAnsi="VIC"/>
          <w:sz w:val="20"/>
        </w:rPr>
        <w:t xml:space="preserve"> </w:t>
      </w:r>
    </w:p>
    <w:p w14:paraId="5AE5F19C" w14:textId="1BCFECFE" w:rsidR="00053B82" w:rsidRPr="00053B82" w:rsidRDefault="003D0B4A" w:rsidP="00053B82">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Areas of Competency</w:t>
      </w:r>
    </w:p>
    <w:p w14:paraId="19BFF057" w14:textId="3AA76B8E" w:rsidR="00AD7D44" w:rsidRPr="00AD7D44" w:rsidRDefault="00AD7D44" w:rsidP="009A4C87">
      <w:pPr>
        <w:pStyle w:val="ListParagraph"/>
        <w:numPr>
          <w:ilvl w:val="0"/>
          <w:numId w:val="4"/>
        </w:numPr>
        <w:rPr>
          <w:rFonts w:ascii="VIC" w:hAnsi="VIC" w:cstheme="minorHAnsi"/>
          <w:sz w:val="20"/>
          <w:szCs w:val="20"/>
        </w:rPr>
      </w:pPr>
      <w:r w:rsidRPr="00AD7D44">
        <w:rPr>
          <w:rFonts w:ascii="VIC" w:hAnsi="VIC" w:cstheme="minorHAnsi"/>
          <w:sz w:val="20"/>
          <w:szCs w:val="20"/>
        </w:rPr>
        <w:t>Requires competency and ability to demonstrate an applied understanding of analysis, design (Concept stage) and planning of urban freeways / motorways (as per Clause 7.1.1 of MMDG – V2P1) to optimise operations and performance.</w:t>
      </w:r>
    </w:p>
    <w:p w14:paraId="64380C43" w14:textId="77777777" w:rsidR="00AD7D44" w:rsidRPr="00AD7D44" w:rsidRDefault="00AD7D44" w:rsidP="009A4C87">
      <w:pPr>
        <w:pStyle w:val="ListParagraph"/>
        <w:numPr>
          <w:ilvl w:val="0"/>
          <w:numId w:val="4"/>
        </w:numPr>
        <w:rPr>
          <w:rFonts w:ascii="VIC" w:hAnsi="VIC" w:cstheme="minorHAnsi"/>
          <w:sz w:val="20"/>
          <w:szCs w:val="20"/>
        </w:rPr>
      </w:pPr>
      <w:r w:rsidRPr="00AD7D44">
        <w:rPr>
          <w:rFonts w:ascii="VIC" w:hAnsi="VIC" w:cstheme="minorHAnsi"/>
          <w:sz w:val="20"/>
          <w:szCs w:val="20"/>
        </w:rPr>
        <w:t>Capability to undertake relevant capacity and operational performance analysis through:</w:t>
      </w:r>
    </w:p>
    <w:p w14:paraId="40BA178B" w14:textId="2AF06AA5" w:rsidR="00AD7D44" w:rsidRPr="00AD7D44" w:rsidRDefault="00AD7D44" w:rsidP="009A4C87">
      <w:pPr>
        <w:pStyle w:val="ListParagraph"/>
        <w:numPr>
          <w:ilvl w:val="0"/>
          <w:numId w:val="10"/>
        </w:numPr>
        <w:rPr>
          <w:rFonts w:ascii="VIC" w:hAnsi="VIC" w:cstheme="minorHAnsi"/>
          <w:sz w:val="20"/>
          <w:szCs w:val="20"/>
        </w:rPr>
      </w:pPr>
      <w:r w:rsidRPr="00AD7D44">
        <w:rPr>
          <w:rFonts w:ascii="VIC" w:eastAsia="Times New Roman" w:hAnsi="VIC" w:cstheme="minorHAnsi"/>
          <w:sz w:val="20"/>
          <w:szCs w:val="20"/>
        </w:rPr>
        <w:t>Utilisation of traffic demands and patterns obtained from data collection and modelling processes.</w:t>
      </w:r>
    </w:p>
    <w:p w14:paraId="3E2609A3" w14:textId="77777777" w:rsidR="00AD7D44" w:rsidRPr="00AD7D44" w:rsidRDefault="00AD7D44" w:rsidP="009A4C87">
      <w:pPr>
        <w:pStyle w:val="ListParagraph"/>
        <w:numPr>
          <w:ilvl w:val="0"/>
          <w:numId w:val="10"/>
        </w:numPr>
        <w:spacing w:after="0" w:line="240" w:lineRule="auto"/>
        <w:rPr>
          <w:rFonts w:ascii="VIC" w:eastAsia="Times New Roman" w:hAnsi="VIC" w:cstheme="minorHAnsi"/>
          <w:sz w:val="20"/>
          <w:szCs w:val="20"/>
        </w:rPr>
      </w:pPr>
      <w:r w:rsidRPr="00AD7D44">
        <w:rPr>
          <w:rFonts w:ascii="VIC" w:eastAsia="Times New Roman" w:hAnsi="VIC" w:cstheme="minorHAnsi"/>
          <w:sz w:val="20"/>
          <w:szCs w:val="20"/>
        </w:rPr>
        <w:t>Application of operational analysis methods provided in Austroads Guide to Traffic Management and Victorian Managed Motorway Design Guide.</w:t>
      </w:r>
    </w:p>
    <w:p w14:paraId="58A628C9" w14:textId="752B8904" w:rsidR="00AD7D44" w:rsidRPr="00AD7D44" w:rsidRDefault="00AD7D44" w:rsidP="009A4C87">
      <w:pPr>
        <w:pStyle w:val="ListParagraph"/>
        <w:numPr>
          <w:ilvl w:val="0"/>
          <w:numId w:val="11"/>
        </w:numPr>
        <w:rPr>
          <w:rFonts w:ascii="VIC" w:hAnsi="VIC" w:cstheme="minorHAnsi"/>
          <w:strike/>
          <w:sz w:val="20"/>
          <w:szCs w:val="20"/>
        </w:rPr>
      </w:pPr>
      <w:r w:rsidRPr="00AD7D44">
        <w:rPr>
          <w:rFonts w:ascii="VIC" w:hAnsi="VIC" w:cstheme="minorHAnsi"/>
          <w:sz w:val="20"/>
          <w:szCs w:val="20"/>
        </w:rPr>
        <w:t>Capability to design (</w:t>
      </w:r>
      <w:r w:rsidRPr="00D16E76">
        <w:rPr>
          <w:rFonts w:ascii="VIC" w:hAnsi="VIC" w:cstheme="minorHAnsi"/>
          <w:sz w:val="20"/>
          <w:szCs w:val="20"/>
        </w:rPr>
        <w:t xml:space="preserve">concept </w:t>
      </w:r>
      <w:r w:rsidR="00A57899" w:rsidRPr="00D16E76">
        <w:rPr>
          <w:rFonts w:ascii="VIC" w:hAnsi="VIC" w:cstheme="minorHAnsi"/>
          <w:sz w:val="20"/>
          <w:szCs w:val="20"/>
        </w:rPr>
        <w:t>design</w:t>
      </w:r>
      <w:r w:rsidRPr="00D16E76">
        <w:rPr>
          <w:rFonts w:ascii="VIC" w:hAnsi="VIC" w:cstheme="minorHAnsi"/>
          <w:sz w:val="20"/>
          <w:szCs w:val="20"/>
        </w:rPr>
        <w:t>) motorway</w:t>
      </w:r>
      <w:r w:rsidRPr="00AD7D44">
        <w:rPr>
          <w:rFonts w:ascii="VIC" w:hAnsi="VIC" w:cstheme="minorHAnsi"/>
          <w:sz w:val="20"/>
          <w:szCs w:val="20"/>
        </w:rPr>
        <w:t xml:space="preserve"> sections and motorways interchanges through:</w:t>
      </w:r>
    </w:p>
    <w:p w14:paraId="14DA06F6" w14:textId="79779CBB" w:rsidR="00AD7D44" w:rsidRPr="00AD7D44" w:rsidRDefault="00AD7D44" w:rsidP="009A4C87">
      <w:pPr>
        <w:pStyle w:val="ListParagraph"/>
        <w:numPr>
          <w:ilvl w:val="0"/>
          <w:numId w:val="10"/>
        </w:numPr>
        <w:rPr>
          <w:rFonts w:ascii="VIC" w:eastAsia="Times New Roman" w:hAnsi="VIC" w:cstheme="minorHAnsi"/>
          <w:sz w:val="20"/>
          <w:szCs w:val="20"/>
        </w:rPr>
      </w:pPr>
      <w:r w:rsidRPr="00AD7D44">
        <w:rPr>
          <w:rFonts w:ascii="VIC" w:eastAsia="Times New Roman" w:hAnsi="VIC" w:cstheme="minorHAnsi"/>
          <w:sz w:val="20"/>
          <w:szCs w:val="20"/>
        </w:rPr>
        <w:t>Application of Austroads Guide to Road Design, Guide to Traffic Management (and associated DTP supplements) and Australian Standards (and associated DTP supplements) to ensure safe and efficient motorway operations.</w:t>
      </w:r>
    </w:p>
    <w:p w14:paraId="1507BC4E" w14:textId="77777777" w:rsidR="00AD7D44" w:rsidRPr="00AD7D44" w:rsidRDefault="00AD7D44" w:rsidP="009A4C87">
      <w:pPr>
        <w:pStyle w:val="ListParagraph"/>
        <w:numPr>
          <w:ilvl w:val="0"/>
          <w:numId w:val="10"/>
        </w:numPr>
        <w:rPr>
          <w:rFonts w:ascii="VIC" w:eastAsia="Times New Roman" w:hAnsi="VIC" w:cstheme="minorHAnsi"/>
          <w:sz w:val="20"/>
          <w:szCs w:val="20"/>
        </w:rPr>
      </w:pPr>
      <w:r w:rsidRPr="00AD7D44">
        <w:rPr>
          <w:rFonts w:ascii="VIC" w:eastAsia="Times New Roman" w:hAnsi="VIC" w:cstheme="minorHAnsi"/>
          <w:sz w:val="20"/>
          <w:szCs w:val="20"/>
        </w:rPr>
        <w:t>Application of the Victorian Managed Motorway Design Guide to integrate managed motorway components and ITS provisions.</w:t>
      </w:r>
    </w:p>
    <w:p w14:paraId="2B66E563" w14:textId="4C340683" w:rsidR="00AD7D44" w:rsidRPr="00AD7D44" w:rsidRDefault="00AD7D44" w:rsidP="009A4C87">
      <w:pPr>
        <w:pStyle w:val="ListParagraph"/>
        <w:numPr>
          <w:ilvl w:val="0"/>
          <w:numId w:val="11"/>
        </w:numPr>
        <w:jc w:val="both"/>
        <w:rPr>
          <w:rFonts w:ascii="VIC" w:eastAsia="Times New Roman" w:hAnsi="VIC" w:cstheme="minorHAnsi"/>
          <w:sz w:val="20"/>
          <w:szCs w:val="20"/>
        </w:rPr>
      </w:pPr>
      <w:r w:rsidRPr="00AD7D44">
        <w:rPr>
          <w:rFonts w:ascii="VIC" w:hAnsi="VIC" w:cstheme="minorHAnsi"/>
          <w:sz w:val="20"/>
          <w:szCs w:val="20"/>
        </w:rPr>
        <w:t>Capability to plan, design (concept stage) and sequence the integration of urban freeway design aspects within broader freeway corridor and road network strategies.</w:t>
      </w:r>
    </w:p>
    <w:p w14:paraId="430F79C0" w14:textId="77777777" w:rsidR="00DD3C19" w:rsidRDefault="00DD3C19" w:rsidP="00DD3C19">
      <w:pPr>
        <w:rPr>
          <w:rFonts w:ascii="VIC" w:eastAsiaTheme="majorEastAsia" w:hAnsi="VIC" w:cstheme="majorBidi"/>
          <w:color w:val="0F4761" w:themeColor="accent1" w:themeShade="BF"/>
          <w:sz w:val="24"/>
          <w:szCs w:val="24"/>
        </w:rPr>
      </w:pPr>
      <w:r w:rsidRPr="00DD3C19">
        <w:rPr>
          <w:rFonts w:ascii="VIC" w:eastAsiaTheme="majorEastAsia" w:hAnsi="VIC" w:cstheme="majorBidi"/>
          <w:color w:val="0F4761" w:themeColor="accent1" w:themeShade="BF"/>
          <w:sz w:val="24"/>
          <w:szCs w:val="24"/>
        </w:rPr>
        <w:t>Note:</w:t>
      </w:r>
    </w:p>
    <w:p w14:paraId="5D94299B" w14:textId="2D7A2CA5" w:rsidR="00DD3C19" w:rsidRPr="00AD7D44" w:rsidRDefault="00DD3C19" w:rsidP="009A4C87">
      <w:pPr>
        <w:pStyle w:val="ListParagraph"/>
        <w:numPr>
          <w:ilvl w:val="0"/>
          <w:numId w:val="9"/>
        </w:numPr>
        <w:rPr>
          <w:rFonts w:ascii="VIC" w:eastAsiaTheme="majorEastAsia" w:hAnsi="VIC" w:cstheme="majorBidi"/>
          <w:color w:val="0F4761" w:themeColor="accent1" w:themeShade="BF"/>
          <w:sz w:val="24"/>
          <w:szCs w:val="24"/>
        </w:rPr>
      </w:pPr>
      <w:r w:rsidRPr="00DD3C19">
        <w:rPr>
          <w:rFonts w:ascii="VIC" w:eastAsiaTheme="majorEastAsia" w:hAnsi="VIC" w:cstheme="majorBidi"/>
          <w:sz w:val="20"/>
          <w:szCs w:val="20"/>
        </w:rPr>
        <w:t>Concept Design is defined as “A schematic drawing that may show the approximate location of the road alignment, and road configuration but does not necessarily fully consider all design controls or specify any dimensions or geometry set out details. Concept design is used to develop a functional layout”, in accordance with DTP Supplement to AGRD-P1.</w:t>
      </w:r>
    </w:p>
    <w:p w14:paraId="3C18224F" w14:textId="2072D955" w:rsidR="003D0B4A" w:rsidRDefault="003D0B4A" w:rsidP="002B4F40">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Prerequisites</w:t>
      </w:r>
    </w:p>
    <w:p w14:paraId="2CC7328B" w14:textId="4D082A80" w:rsidR="00AD7D44" w:rsidRDefault="00AD7D44" w:rsidP="008B2DF4">
      <w:pPr>
        <w:rPr>
          <w:rFonts w:ascii="VIC" w:eastAsiaTheme="majorEastAsia" w:hAnsi="VIC" w:cstheme="majorBidi"/>
          <w:sz w:val="20"/>
          <w:szCs w:val="20"/>
        </w:rPr>
      </w:pPr>
      <w:r w:rsidRPr="006B1966">
        <w:rPr>
          <w:rFonts w:ascii="VIC" w:eastAsiaTheme="majorEastAsia" w:hAnsi="VIC" w:cstheme="majorBidi"/>
          <w:sz w:val="20"/>
          <w:szCs w:val="20"/>
        </w:rPr>
        <w:t>Companies applying for this level must be prequalified for Arterial Roads (TAR) level.</w:t>
      </w:r>
      <w:r w:rsidRPr="00AD7D44">
        <w:rPr>
          <w:rFonts w:ascii="VIC" w:eastAsiaTheme="majorEastAsia" w:hAnsi="VIC" w:cstheme="majorBidi"/>
          <w:sz w:val="20"/>
          <w:szCs w:val="20"/>
        </w:rPr>
        <w:t xml:space="preserve"> </w:t>
      </w:r>
    </w:p>
    <w:p w14:paraId="3DAE24BE" w14:textId="0C301CA2" w:rsidR="008B2DF4" w:rsidRDefault="003D0B4A" w:rsidP="008B2DF4">
      <w:pPr>
        <w:rPr>
          <w:rFonts w:ascii="VIC" w:eastAsiaTheme="majorEastAsia" w:hAnsi="VIC" w:cstheme="majorBidi"/>
          <w:color w:val="0F4761" w:themeColor="accent1" w:themeShade="BF"/>
          <w:sz w:val="28"/>
          <w:szCs w:val="28"/>
        </w:rPr>
      </w:pPr>
      <w:r w:rsidRPr="004F593C">
        <w:rPr>
          <w:rFonts w:ascii="VIC" w:eastAsiaTheme="majorEastAsia" w:hAnsi="VIC" w:cstheme="majorBidi"/>
          <w:color w:val="0F4761" w:themeColor="accent1" w:themeShade="BF"/>
          <w:sz w:val="28"/>
          <w:szCs w:val="28"/>
        </w:rPr>
        <w:t xml:space="preserve">Renewal </w:t>
      </w:r>
      <w:r w:rsidR="004F593C">
        <w:rPr>
          <w:rFonts w:ascii="VIC" w:eastAsiaTheme="majorEastAsia" w:hAnsi="VIC" w:cstheme="majorBidi"/>
          <w:color w:val="0F4761" w:themeColor="accent1" w:themeShade="BF"/>
          <w:sz w:val="28"/>
          <w:szCs w:val="28"/>
        </w:rPr>
        <w:t>/ Reviews</w:t>
      </w:r>
    </w:p>
    <w:p w14:paraId="38421CE7" w14:textId="2FAB6F7A" w:rsidR="00EC2C54" w:rsidRDefault="002B4F40" w:rsidP="002B4F40">
      <w:pPr>
        <w:rPr>
          <w:rFonts w:ascii="VIC" w:eastAsiaTheme="majorEastAsia" w:hAnsi="VIC" w:cstheme="majorBidi"/>
          <w:sz w:val="20"/>
          <w:szCs w:val="20"/>
        </w:rPr>
      </w:pPr>
      <w:r w:rsidRPr="00EC2C54">
        <w:rPr>
          <w:rFonts w:ascii="VIC" w:eastAsiaTheme="majorEastAsia" w:hAnsi="VIC" w:cstheme="majorBidi"/>
          <w:sz w:val="20"/>
          <w:szCs w:val="20"/>
        </w:rPr>
        <w:t xml:space="preserve">Prequalified companies </w:t>
      </w:r>
      <w:bookmarkStart w:id="1" w:name="_Hlk201308916"/>
      <w:r w:rsidRPr="00EC2C54">
        <w:rPr>
          <w:rFonts w:ascii="VIC" w:eastAsiaTheme="majorEastAsia" w:hAnsi="VIC" w:cstheme="majorBidi"/>
          <w:sz w:val="20"/>
          <w:szCs w:val="20"/>
        </w:rPr>
        <w:t xml:space="preserve">will be required to participate in performance reviews every </w:t>
      </w:r>
      <w:r w:rsidR="00AD7D44">
        <w:rPr>
          <w:rFonts w:ascii="VIC" w:eastAsiaTheme="majorEastAsia" w:hAnsi="VIC" w:cstheme="majorBidi"/>
          <w:sz w:val="20"/>
          <w:szCs w:val="20"/>
        </w:rPr>
        <w:t>5</w:t>
      </w:r>
      <w:r w:rsidRPr="00EC2C54">
        <w:rPr>
          <w:rFonts w:ascii="VIC" w:eastAsiaTheme="majorEastAsia" w:hAnsi="VIC" w:cstheme="majorBidi"/>
          <w:sz w:val="20"/>
          <w:szCs w:val="20"/>
        </w:rPr>
        <w:t xml:space="preserve"> years. </w:t>
      </w:r>
    </w:p>
    <w:bookmarkEnd w:id="1"/>
    <w:p w14:paraId="7B2B3DDB" w14:textId="77777777" w:rsidR="00EC2C54" w:rsidRDefault="00EC2C54" w:rsidP="00EC2C54">
      <w:pPr>
        <w:rPr>
          <w:rFonts w:ascii="VIC" w:eastAsiaTheme="majorEastAsia" w:hAnsi="VIC" w:cstheme="majorBidi"/>
          <w:sz w:val="20"/>
          <w:szCs w:val="20"/>
        </w:rPr>
      </w:pPr>
      <w:r>
        <w:rPr>
          <w:rFonts w:ascii="VIC" w:eastAsiaTheme="majorEastAsia" w:hAnsi="VIC" w:cstheme="majorBidi"/>
          <w:sz w:val="20"/>
          <w:szCs w:val="20"/>
        </w:rPr>
        <w:t xml:space="preserve">The company is required to advise the department of any changes to personnel that this application nominates. </w:t>
      </w:r>
    </w:p>
    <w:p w14:paraId="71A2ABC5" w14:textId="77777777" w:rsidR="00AD7D44" w:rsidRDefault="00AD7D44" w:rsidP="00EC2C54">
      <w:pPr>
        <w:rPr>
          <w:rFonts w:ascii="VIC" w:eastAsiaTheme="majorEastAsia" w:hAnsi="VIC" w:cstheme="majorBidi"/>
          <w:sz w:val="20"/>
          <w:szCs w:val="20"/>
        </w:rPr>
      </w:pPr>
    </w:p>
    <w:p w14:paraId="2B91D682" w14:textId="77777777" w:rsidR="00AD7D44" w:rsidRDefault="00AD7D44" w:rsidP="00EC2C54">
      <w:pPr>
        <w:rPr>
          <w:rFonts w:ascii="VIC" w:eastAsiaTheme="majorEastAsia" w:hAnsi="VIC" w:cstheme="majorBidi"/>
          <w:sz w:val="20"/>
          <w:szCs w:val="20"/>
        </w:rPr>
      </w:pPr>
    </w:p>
    <w:p w14:paraId="4D33219D" w14:textId="77777777" w:rsidR="00AD7D44" w:rsidRDefault="00AD7D44" w:rsidP="00EC2C54">
      <w:pPr>
        <w:rPr>
          <w:rFonts w:ascii="VIC" w:eastAsiaTheme="majorEastAsia" w:hAnsi="VIC" w:cstheme="majorBidi"/>
          <w:sz w:val="20"/>
          <w:szCs w:val="20"/>
        </w:rPr>
      </w:pPr>
    </w:p>
    <w:p w14:paraId="1A6A569C" w14:textId="4A467D84" w:rsidR="003D0B4A" w:rsidRDefault="00774816" w:rsidP="003D0B4A">
      <w:pPr>
        <w:pStyle w:val="Heading2"/>
        <w:rPr>
          <w:rFonts w:ascii="VIC" w:hAnsi="VIC"/>
          <w:sz w:val="28"/>
          <w:szCs w:val="28"/>
        </w:rPr>
      </w:pPr>
      <w:r w:rsidRPr="004F593C">
        <w:rPr>
          <w:rFonts w:ascii="VIC" w:hAnsi="VIC"/>
          <w:sz w:val="28"/>
          <w:szCs w:val="28"/>
        </w:rPr>
        <w:lastRenderedPageBreak/>
        <w:t>Minimum</w:t>
      </w:r>
      <w:r w:rsidR="003D0B4A" w:rsidRPr="004F593C">
        <w:rPr>
          <w:rFonts w:ascii="VIC" w:hAnsi="VIC"/>
          <w:sz w:val="28"/>
          <w:szCs w:val="28"/>
        </w:rPr>
        <w:t xml:space="preserve"> Requirements</w:t>
      </w:r>
    </w:p>
    <w:p w14:paraId="1E2B745D" w14:textId="77777777" w:rsidR="00AD7D44" w:rsidRPr="009A4C87" w:rsidRDefault="00AD7D44" w:rsidP="009A4C87">
      <w:pPr>
        <w:pStyle w:val="ListParagraph"/>
        <w:numPr>
          <w:ilvl w:val="0"/>
          <w:numId w:val="11"/>
        </w:numPr>
        <w:rPr>
          <w:rFonts w:ascii="VIC" w:hAnsi="VIC"/>
          <w:bCs/>
          <w:sz w:val="20"/>
          <w:szCs w:val="20"/>
        </w:rPr>
      </w:pPr>
      <w:r w:rsidRPr="00AD7D44">
        <w:rPr>
          <w:rFonts w:ascii="VIC" w:hAnsi="VIC"/>
          <w:bCs/>
          <w:sz w:val="20"/>
          <w:szCs w:val="20"/>
        </w:rPr>
        <w:t xml:space="preserve">Evidence of at least 3 projects undertaken by the consultant over the recent 5 years </w:t>
      </w:r>
      <w:r w:rsidRPr="009A4C87">
        <w:rPr>
          <w:rFonts w:ascii="VIC" w:hAnsi="VIC"/>
          <w:bCs/>
          <w:sz w:val="20"/>
          <w:szCs w:val="20"/>
        </w:rPr>
        <w:t>demonstrating:</w:t>
      </w:r>
    </w:p>
    <w:p w14:paraId="041BD93F" w14:textId="77777777" w:rsidR="00AD7D44" w:rsidRPr="009A4C87" w:rsidRDefault="00AD7D44" w:rsidP="009A4C87">
      <w:pPr>
        <w:pStyle w:val="ListParagraph"/>
        <w:numPr>
          <w:ilvl w:val="0"/>
          <w:numId w:val="12"/>
        </w:numPr>
        <w:rPr>
          <w:rFonts w:ascii="VIC" w:hAnsi="VIC"/>
          <w:bCs/>
          <w:sz w:val="20"/>
          <w:szCs w:val="20"/>
        </w:rPr>
      </w:pPr>
      <w:r w:rsidRPr="009A4C87">
        <w:rPr>
          <w:rFonts w:ascii="VIC" w:hAnsi="VIC"/>
          <w:bCs/>
          <w:sz w:val="20"/>
          <w:szCs w:val="20"/>
        </w:rPr>
        <w:t>Reports detailing traffic analysis and performance assessment informing freeway capacity needs (lanes and carriageways), ramp terminal layouts (mainline and minor road), and interchange (intersection) layouts.</w:t>
      </w:r>
    </w:p>
    <w:p w14:paraId="3B6A07F9" w14:textId="77777777" w:rsidR="00AD7D44" w:rsidRPr="009A4C87" w:rsidRDefault="00AD7D44" w:rsidP="009A4C87">
      <w:pPr>
        <w:pStyle w:val="ListParagraph"/>
        <w:numPr>
          <w:ilvl w:val="0"/>
          <w:numId w:val="12"/>
        </w:numPr>
        <w:rPr>
          <w:rFonts w:ascii="VIC" w:hAnsi="VIC"/>
          <w:bCs/>
          <w:sz w:val="20"/>
          <w:szCs w:val="20"/>
        </w:rPr>
      </w:pPr>
      <w:r w:rsidRPr="009A4C87">
        <w:rPr>
          <w:rFonts w:ascii="VIC" w:hAnsi="VIC"/>
          <w:bCs/>
          <w:sz w:val="20"/>
          <w:szCs w:val="20"/>
        </w:rPr>
        <w:t xml:space="preserve">Operational analyses of ramps and corridors to inform ramp capacities and storage and Managed Motorway / ITS provisions. </w:t>
      </w:r>
    </w:p>
    <w:p w14:paraId="6DC0BD3C" w14:textId="77777777" w:rsidR="00AD7D44" w:rsidRPr="00AD7D44" w:rsidRDefault="00AD7D44" w:rsidP="009A4C87">
      <w:pPr>
        <w:pStyle w:val="ListParagraph"/>
        <w:numPr>
          <w:ilvl w:val="0"/>
          <w:numId w:val="12"/>
        </w:numPr>
        <w:rPr>
          <w:rFonts w:ascii="VIC" w:hAnsi="VIC"/>
          <w:bCs/>
          <w:sz w:val="20"/>
          <w:szCs w:val="20"/>
        </w:rPr>
      </w:pPr>
      <w:r w:rsidRPr="009A4C87">
        <w:rPr>
          <w:rFonts w:ascii="VIC" w:hAnsi="VIC"/>
          <w:bCs/>
          <w:sz w:val="20"/>
          <w:szCs w:val="20"/>
        </w:rPr>
        <w:t>Urban freeway and interchange preliminary (and/or concept) designs (considering 2D and 3D, as appropriate) and associated design reports. Designs should include but are not limited to road alignment, geometric layout, longitudinal profiles and cross sections, terminal intersection / traffic signal layout, ramp metering and exit ramp configurations</w:t>
      </w:r>
      <w:r w:rsidRPr="00AD7D44">
        <w:rPr>
          <w:rFonts w:ascii="VIC" w:hAnsi="VIC"/>
          <w:bCs/>
          <w:sz w:val="20"/>
          <w:szCs w:val="20"/>
        </w:rPr>
        <w:t>, signs and line marking including major direction signs and strategy, lighting, and ITS device layout etc.</w:t>
      </w:r>
    </w:p>
    <w:p w14:paraId="1628A893" w14:textId="77777777" w:rsidR="00AD7D44" w:rsidRDefault="00AD7D44" w:rsidP="009A4C87">
      <w:pPr>
        <w:pStyle w:val="ListParagraph"/>
        <w:numPr>
          <w:ilvl w:val="0"/>
          <w:numId w:val="12"/>
        </w:numPr>
        <w:rPr>
          <w:rFonts w:ascii="VIC" w:hAnsi="VIC"/>
          <w:bCs/>
          <w:sz w:val="20"/>
          <w:szCs w:val="20"/>
        </w:rPr>
      </w:pPr>
      <w:r w:rsidRPr="00AD7D44">
        <w:rPr>
          <w:rFonts w:ascii="VIC" w:hAnsi="VIC"/>
          <w:bCs/>
          <w:sz w:val="20"/>
          <w:szCs w:val="20"/>
        </w:rPr>
        <w:t>Where appropriate, consideration of interim and ultimate configuration states and staged infrastructure provisions.</w:t>
      </w:r>
    </w:p>
    <w:p w14:paraId="0A8CC6B1" w14:textId="77777777" w:rsidR="00DD3C19" w:rsidRPr="00DD3C19" w:rsidRDefault="00DD3C19" w:rsidP="009A4C87">
      <w:pPr>
        <w:pStyle w:val="ListParagraph"/>
        <w:numPr>
          <w:ilvl w:val="0"/>
          <w:numId w:val="8"/>
        </w:numPr>
        <w:rPr>
          <w:rFonts w:ascii="VIC" w:hAnsi="VIC"/>
          <w:bCs/>
          <w:sz w:val="20"/>
          <w:szCs w:val="20"/>
        </w:rPr>
      </w:pPr>
      <w:r w:rsidRPr="00DD3C19">
        <w:rPr>
          <w:rFonts w:ascii="VIC" w:hAnsi="VIC"/>
          <w:bCs/>
          <w:sz w:val="20"/>
          <w:szCs w:val="20"/>
        </w:rPr>
        <w:t>If examples were completed as a joint venture or when the consultant worked in a different Company / Consultant, then a corresponding letter, signed by each consultant, outlining about the lead of the project and a detailed description of what each consultant was directly responsible for, including specific personnel information.</w:t>
      </w:r>
    </w:p>
    <w:p w14:paraId="531B99D5" w14:textId="77777777" w:rsidR="006763AC" w:rsidRPr="006763AC" w:rsidRDefault="006763AC" w:rsidP="006763AC">
      <w:pPr>
        <w:pStyle w:val="ListParagraph"/>
        <w:spacing w:after="0" w:line="240" w:lineRule="auto"/>
        <w:ind w:left="1440"/>
        <w:rPr>
          <w:rFonts w:ascii="VIC" w:hAnsi="VIC"/>
          <w:sz w:val="20"/>
          <w:szCs w:val="20"/>
        </w:rPr>
      </w:pPr>
    </w:p>
    <w:p w14:paraId="6A727D58" w14:textId="48D86789" w:rsidR="002B4F40" w:rsidRPr="002B4F40" w:rsidRDefault="002B4F40" w:rsidP="009A4C87">
      <w:pPr>
        <w:pStyle w:val="ListParagraph"/>
        <w:numPr>
          <w:ilvl w:val="0"/>
          <w:numId w:val="7"/>
        </w:numPr>
        <w:rPr>
          <w:rFonts w:ascii="VIC" w:eastAsiaTheme="majorEastAsia" w:hAnsi="VIC" w:cstheme="majorBidi"/>
          <w:sz w:val="20"/>
          <w:szCs w:val="20"/>
        </w:rPr>
      </w:pPr>
      <w:r>
        <w:rPr>
          <w:rFonts w:ascii="VIC" w:eastAsiaTheme="majorEastAsia" w:hAnsi="VIC" w:cstheme="majorBidi"/>
          <w:sz w:val="20"/>
          <w:szCs w:val="20"/>
        </w:rPr>
        <w:t xml:space="preserve">Provide CVs of the staff engaged in the preparation of the reports. </w:t>
      </w:r>
    </w:p>
    <w:p w14:paraId="167C996A" w14:textId="77777777" w:rsidR="002B4F40" w:rsidRDefault="002B4F40" w:rsidP="002B4F40">
      <w:pPr>
        <w:spacing w:after="0" w:line="240" w:lineRule="auto"/>
        <w:ind w:left="720"/>
        <w:rPr>
          <w:rFonts w:ascii="VIC" w:eastAsia="Times New Roman" w:hAnsi="VIC" w:cs="Times New Roman"/>
          <w:sz w:val="20"/>
          <w:szCs w:val="20"/>
          <w:lang w:eastAsia="en-AU"/>
        </w:rPr>
      </w:pPr>
    </w:p>
    <w:p w14:paraId="3355542D" w14:textId="646E19D3" w:rsidR="00774816" w:rsidRDefault="00774816" w:rsidP="002B4F40">
      <w:pPr>
        <w:pStyle w:val="Heading2"/>
        <w:spacing w:before="0" w:after="0" w:line="240" w:lineRule="auto"/>
        <w:rPr>
          <w:rFonts w:ascii="VIC" w:hAnsi="VIC"/>
          <w:sz w:val="28"/>
          <w:szCs w:val="28"/>
        </w:rPr>
      </w:pPr>
      <w:r w:rsidRPr="004F593C">
        <w:rPr>
          <w:rFonts w:ascii="VIC" w:hAnsi="VIC"/>
          <w:sz w:val="28"/>
          <w:szCs w:val="28"/>
        </w:rPr>
        <w:t>Spreadsheet</w:t>
      </w:r>
    </w:p>
    <w:p w14:paraId="657F1AD2" w14:textId="77777777" w:rsidR="002B4F40" w:rsidRDefault="002B4F40" w:rsidP="002B4F40">
      <w:pPr>
        <w:spacing w:after="0" w:line="240" w:lineRule="auto"/>
        <w:rPr>
          <w:rFonts w:ascii="VIC" w:hAnsi="VIC"/>
          <w:sz w:val="20"/>
          <w:szCs w:val="20"/>
        </w:rPr>
      </w:pPr>
    </w:p>
    <w:p w14:paraId="6B8B099A" w14:textId="182BDB0C" w:rsidR="00774816" w:rsidRPr="002A1BA5" w:rsidRDefault="00774816" w:rsidP="002B4F40">
      <w:pPr>
        <w:spacing w:after="0" w:line="240" w:lineRule="auto"/>
        <w:rPr>
          <w:rFonts w:ascii="VIC" w:hAnsi="VIC"/>
          <w:sz w:val="20"/>
          <w:szCs w:val="20"/>
        </w:rPr>
      </w:pPr>
      <w:r w:rsidRPr="002A1BA5">
        <w:rPr>
          <w:rFonts w:ascii="VIC" w:hAnsi="VIC"/>
          <w:sz w:val="20"/>
          <w:szCs w:val="20"/>
        </w:rPr>
        <w:t xml:space="preserve">Please complete the Part B Spreadsheet linked below. </w:t>
      </w:r>
    </w:p>
    <w:p w14:paraId="0815B046" w14:textId="70666822" w:rsidR="00A962DD" w:rsidRDefault="003D0B4A" w:rsidP="00782758">
      <w:pPr>
        <w:rPr>
          <w:rFonts w:ascii="VIC" w:hAnsi="VIC"/>
          <w:b/>
        </w:rPr>
      </w:pPr>
      <w:r w:rsidRPr="003D0B4A">
        <w:rPr>
          <w:rFonts w:ascii="VIC" w:hAnsi="VIC"/>
          <w:b/>
        </w:rPr>
        <w:t xml:space="preserve">  </w:t>
      </w:r>
    </w:p>
    <w:p w14:paraId="668E700F" w14:textId="6F03561E" w:rsidR="006B1966" w:rsidRPr="00782758" w:rsidRDefault="006B1966" w:rsidP="00782758">
      <w:pPr>
        <w:rPr>
          <w:rFonts w:ascii="VIC" w:hAnsi="VIC"/>
          <w:b/>
        </w:rPr>
      </w:pPr>
      <w:r>
        <w:rPr>
          <w:rFonts w:ascii="VIC" w:hAnsi="VIC"/>
          <w:b/>
        </w:rPr>
        <w:object w:dxaOrig="1517" w:dyaOrig="985" w14:anchorId="6E0BB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1" o:title=""/>
          </v:shape>
          <o:OLEObject Type="Embed" ProgID="Excel.Sheet.12" ShapeID="_x0000_i1025" DrawAspect="Icon" ObjectID="_1826098951" r:id="rId12"/>
        </w:object>
      </w:r>
    </w:p>
    <w:sectPr w:rsidR="006B1966" w:rsidRPr="00782758" w:rsidSect="002A1BA5">
      <w:headerReference w:type="default" r:id="rId13"/>
      <w:footerReference w:type="default" r:id="rId14"/>
      <w:pgSz w:w="11908" w:h="16833" w:code="9"/>
      <w:pgMar w:top="1134" w:right="851" w:bottom="851" w:left="964" w:header="680" w:footer="431" w:gutter="0"/>
      <w:paperSrc w:first="15" w:other="15"/>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4CC1" w14:textId="77777777" w:rsidR="00351BA6" w:rsidRDefault="00351BA6" w:rsidP="00EF050E">
      <w:pPr>
        <w:spacing w:after="0" w:line="240" w:lineRule="auto"/>
      </w:pPr>
      <w:r>
        <w:separator/>
      </w:r>
    </w:p>
  </w:endnote>
  <w:endnote w:type="continuationSeparator" w:id="0">
    <w:p w14:paraId="0B73ABCA" w14:textId="77777777" w:rsidR="00351BA6" w:rsidRDefault="00351BA6"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466723"/>
      <w:docPartObj>
        <w:docPartGallery w:val="Page Numbers (Bottom of Page)"/>
        <w:docPartUnique/>
      </w:docPartObj>
    </w:sdtPr>
    <w:sdtEndPr>
      <w:rPr>
        <w:rFonts w:ascii="VIC" w:hAnsi="VIC"/>
        <w:noProof/>
        <w:sz w:val="16"/>
        <w:szCs w:val="16"/>
      </w:rPr>
    </w:sdtEndPr>
    <w:sdtContent>
      <w:p w14:paraId="3EA3C227" w14:textId="09A1352C" w:rsidR="002A1BA5" w:rsidRPr="002A1BA5" w:rsidRDefault="002A1BA5">
        <w:pPr>
          <w:pStyle w:val="Footer"/>
          <w:jc w:val="right"/>
          <w:rPr>
            <w:rFonts w:ascii="VIC" w:hAnsi="VIC"/>
            <w:sz w:val="16"/>
            <w:szCs w:val="16"/>
          </w:rPr>
        </w:pPr>
        <w:r w:rsidRPr="002A1BA5">
          <w:rPr>
            <w:rFonts w:ascii="VIC" w:hAnsi="VIC"/>
            <w:sz w:val="16"/>
            <w:szCs w:val="16"/>
          </w:rPr>
          <w:fldChar w:fldCharType="begin"/>
        </w:r>
        <w:r w:rsidRPr="002A1BA5">
          <w:rPr>
            <w:rFonts w:ascii="VIC" w:hAnsi="VIC"/>
            <w:sz w:val="16"/>
            <w:szCs w:val="16"/>
          </w:rPr>
          <w:instrText xml:space="preserve"> PAGE   \* MERGEFORMAT </w:instrText>
        </w:r>
        <w:r w:rsidRPr="002A1BA5">
          <w:rPr>
            <w:rFonts w:ascii="VIC" w:hAnsi="VIC"/>
            <w:sz w:val="16"/>
            <w:szCs w:val="16"/>
          </w:rPr>
          <w:fldChar w:fldCharType="separate"/>
        </w:r>
        <w:r w:rsidRPr="002A1BA5">
          <w:rPr>
            <w:rFonts w:ascii="VIC" w:hAnsi="VIC"/>
            <w:noProof/>
            <w:sz w:val="16"/>
            <w:szCs w:val="16"/>
          </w:rPr>
          <w:t>2</w:t>
        </w:r>
        <w:r w:rsidRPr="002A1BA5">
          <w:rPr>
            <w:rFonts w:ascii="VIC" w:hAnsi="VIC"/>
            <w:noProof/>
            <w:sz w:val="16"/>
            <w:szCs w:val="16"/>
          </w:rPr>
          <w:fldChar w:fldCharType="end"/>
        </w:r>
      </w:p>
    </w:sdtContent>
  </w:sdt>
  <w:p w14:paraId="21F3529A" w14:textId="77777777" w:rsidR="002A1BA5" w:rsidRDefault="002A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B13" w14:textId="77777777" w:rsidR="00351BA6" w:rsidRDefault="00351BA6" w:rsidP="00EF050E">
      <w:pPr>
        <w:spacing w:after="0" w:line="240" w:lineRule="auto"/>
      </w:pPr>
      <w:r>
        <w:separator/>
      </w:r>
    </w:p>
  </w:footnote>
  <w:footnote w:type="continuationSeparator" w:id="0">
    <w:p w14:paraId="70AE43BD" w14:textId="77777777" w:rsidR="00351BA6" w:rsidRDefault="00351BA6"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2D8"/>
    <w:multiLevelType w:val="hybridMultilevel"/>
    <w:tmpl w:val="BF3A9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2" w15:restartNumberingAfterBreak="0">
    <w:nsid w:val="2F3A01AD"/>
    <w:multiLevelType w:val="hybridMultilevel"/>
    <w:tmpl w:val="CD8C32F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595310"/>
    <w:multiLevelType w:val="hybridMultilevel"/>
    <w:tmpl w:val="F57A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E42BD"/>
    <w:multiLevelType w:val="hybridMultilevel"/>
    <w:tmpl w:val="166A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CA22A0"/>
    <w:multiLevelType w:val="hybridMultilevel"/>
    <w:tmpl w:val="1E0AAE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3C137B"/>
    <w:multiLevelType w:val="hybridMultilevel"/>
    <w:tmpl w:val="9B686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abstractNum w:abstractNumId="11" w15:restartNumberingAfterBreak="0">
    <w:nsid w:val="7AD753EA"/>
    <w:multiLevelType w:val="hybridMultilevel"/>
    <w:tmpl w:val="F8268DE2"/>
    <w:lvl w:ilvl="0" w:tplc="AF5E2D4A">
      <w:start w:val="1"/>
      <w:numFmt w:val="decimal"/>
      <w:lvlText w:val="%1."/>
      <w:lvlJc w:val="left"/>
      <w:pPr>
        <w:ind w:left="720" w:hanging="360"/>
      </w:pPr>
      <w:rPr>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4342648">
    <w:abstractNumId w:val="10"/>
  </w:num>
  <w:num w:numId="2" w16cid:durableId="365838606">
    <w:abstractNumId w:val="1"/>
  </w:num>
  <w:num w:numId="3" w16cid:durableId="1083841058">
    <w:abstractNumId w:val="3"/>
  </w:num>
  <w:num w:numId="4" w16cid:durableId="1915121307">
    <w:abstractNumId w:val="0"/>
  </w:num>
  <w:num w:numId="5" w16cid:durableId="761491786">
    <w:abstractNumId w:val="6"/>
  </w:num>
  <w:num w:numId="6" w16cid:durableId="1594363008">
    <w:abstractNumId w:val="8"/>
  </w:num>
  <w:num w:numId="7" w16cid:durableId="312105712">
    <w:abstractNumId w:val="9"/>
  </w:num>
  <w:num w:numId="8" w16cid:durableId="194971032">
    <w:abstractNumId w:val="5"/>
  </w:num>
  <w:num w:numId="9" w16cid:durableId="16546413">
    <w:abstractNumId w:val="11"/>
  </w:num>
  <w:num w:numId="10" w16cid:durableId="1995062883">
    <w:abstractNumId w:val="2"/>
  </w:num>
  <w:num w:numId="11" w16cid:durableId="2054646118">
    <w:abstractNumId w:val="4"/>
  </w:num>
  <w:num w:numId="12" w16cid:durableId="214488777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4340D"/>
    <w:rsid w:val="00053B82"/>
    <w:rsid w:val="00125F7D"/>
    <w:rsid w:val="00171849"/>
    <w:rsid w:val="001B1041"/>
    <w:rsid w:val="002417DC"/>
    <w:rsid w:val="002A1BA5"/>
    <w:rsid w:val="002B4F40"/>
    <w:rsid w:val="002C7B02"/>
    <w:rsid w:val="00351BA6"/>
    <w:rsid w:val="00352DA0"/>
    <w:rsid w:val="0037528E"/>
    <w:rsid w:val="003D0B4A"/>
    <w:rsid w:val="004A5566"/>
    <w:rsid w:val="004E2F93"/>
    <w:rsid w:val="004F593C"/>
    <w:rsid w:val="00524A49"/>
    <w:rsid w:val="00595805"/>
    <w:rsid w:val="00602E90"/>
    <w:rsid w:val="00611241"/>
    <w:rsid w:val="0064501D"/>
    <w:rsid w:val="006763AC"/>
    <w:rsid w:val="006B1966"/>
    <w:rsid w:val="006E0064"/>
    <w:rsid w:val="00746F88"/>
    <w:rsid w:val="00774816"/>
    <w:rsid w:val="00782758"/>
    <w:rsid w:val="007A6349"/>
    <w:rsid w:val="007C67D7"/>
    <w:rsid w:val="007F0097"/>
    <w:rsid w:val="00844107"/>
    <w:rsid w:val="00892ECD"/>
    <w:rsid w:val="008A1F26"/>
    <w:rsid w:val="008A5FE0"/>
    <w:rsid w:val="008B2DF4"/>
    <w:rsid w:val="008C7A92"/>
    <w:rsid w:val="008D4E06"/>
    <w:rsid w:val="008E7CFA"/>
    <w:rsid w:val="009029F9"/>
    <w:rsid w:val="009458F9"/>
    <w:rsid w:val="00990E42"/>
    <w:rsid w:val="009A4C87"/>
    <w:rsid w:val="00A01A1A"/>
    <w:rsid w:val="00A21AD6"/>
    <w:rsid w:val="00A22824"/>
    <w:rsid w:val="00A57899"/>
    <w:rsid w:val="00A638A8"/>
    <w:rsid w:val="00A920EE"/>
    <w:rsid w:val="00A962DD"/>
    <w:rsid w:val="00A97FE7"/>
    <w:rsid w:val="00AD7D44"/>
    <w:rsid w:val="00B1212F"/>
    <w:rsid w:val="00B53EAB"/>
    <w:rsid w:val="00B66AFD"/>
    <w:rsid w:val="00B875F9"/>
    <w:rsid w:val="00BD531D"/>
    <w:rsid w:val="00C26958"/>
    <w:rsid w:val="00C65DD7"/>
    <w:rsid w:val="00C90355"/>
    <w:rsid w:val="00CA2018"/>
    <w:rsid w:val="00D16E76"/>
    <w:rsid w:val="00D45582"/>
    <w:rsid w:val="00DD3C19"/>
    <w:rsid w:val="00DE6AF7"/>
    <w:rsid w:val="00EA7F31"/>
    <w:rsid w:val="00EC2C54"/>
    <w:rsid w:val="00EF050E"/>
    <w:rsid w:val="00F07769"/>
    <w:rsid w:val="00FC0300"/>
    <w:rsid w:val="00FE4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qual@transport.vic.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A8BD-D730-4B72-A319-F6FA0D81294B}">
  <ds:schemaRefs>
    <ds:schemaRef ds:uri="http://schemas.openxmlformats.org/officeDocument/2006/bibliography"/>
  </ds:schemaRefs>
</ds:datastoreItem>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6</cp:revision>
  <dcterms:created xsi:type="dcterms:W3CDTF">2025-07-11T00:47:00Z</dcterms:created>
  <dcterms:modified xsi:type="dcterms:W3CDTF">2025-12-01T01:56:00Z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05e4571f-66b1-4600-8e3c-05d79e4910e0</vt:lpwstr>
  </property>
</Properties>
</file>