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>
        <w:rPr>
          <w:color w:val="4EA72E" w:themeColor="accent6"/>
          <w:sz w:val="36"/>
          <w:szCs w:val="20"/>
        </w:rPr>
      </w:sdtEnd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1729AFE0" w:rsidR="00EF050E" w:rsidRPr="002A1BA5" w:rsidRDefault="00EF050E" w:rsidP="007136BF">
          <w:pPr>
            <w:pStyle w:val="LightReportTite"/>
            <w:rPr>
              <w:rFonts w:ascii="VIC" w:hAnsi="VIC"/>
            </w:rPr>
          </w:pP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354CEC9B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A1BA5">
            <w:rPr>
              <w:rFonts w:ascii="VIC" w:hAnsi="VIC"/>
            </w:rPr>
            <w:t xml:space="preserve">Part B – </w:t>
          </w:r>
          <w:r w:rsidR="00D92E85" w:rsidRPr="00D92E85">
            <w:rPr>
              <w:rFonts w:ascii="VIC" w:hAnsi="VIC"/>
            </w:rPr>
            <w:t xml:space="preserve">Simulation Modelling (TSM) Level </w:t>
          </w:r>
          <w:r w:rsidR="004F593C">
            <w:rPr>
              <w:rFonts w:ascii="VIC" w:hAnsi="VIC"/>
            </w:rPr>
            <w:t>Application</w:t>
          </w:r>
          <w:r w:rsidR="003D0B4A" w:rsidRPr="002A1BA5">
            <w:rPr>
              <w:rFonts w:ascii="VIC" w:hAnsi="VIC"/>
            </w:rPr>
            <w:t xml:space="preserve"> </w:t>
          </w:r>
        </w:p>
        <w:p w14:paraId="6F1E87BB" w14:textId="0A089BA3" w:rsidR="00EF050E" w:rsidRPr="00EF050E" w:rsidRDefault="00EF050E" w:rsidP="00892ECD">
          <w:pPr>
            <w:pStyle w:val="LightReportSubtitle"/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58BE534C" w14:textId="77777777" w:rsidR="00B66AFD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188E7C5A" w14:textId="77777777" w:rsidR="00B66AFD" w:rsidRPr="00A227F3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1C804B72" w14:textId="77777777" w:rsidR="00774816" w:rsidRDefault="00774816" w:rsidP="00774816">
      <w:pPr>
        <w:rPr>
          <w:kern w:val="2"/>
          <w14:ligatures w14:val="standardContextual"/>
        </w:rPr>
      </w:pPr>
    </w:p>
    <w:p w14:paraId="67F914CF" w14:textId="361C52EA" w:rsidR="00C26958" w:rsidRPr="00C26958" w:rsidRDefault="00C26958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0DB08CB" w14:textId="212D7548" w:rsidR="00774816" w:rsidRPr="00A227F3" w:rsidRDefault="00774816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DED05F2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390A0994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6C52F303" w14:textId="77777777" w:rsidR="00774816" w:rsidRPr="00FC2B38" w:rsidRDefault="00774816" w:rsidP="00774816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45419ECB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0175B062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AFC62E4" w14:textId="3EE7908F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5F6A7CA6" w14:textId="1B37958C" w:rsidR="00774816" w:rsidRPr="00C26958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9B06AAC" w14:textId="77777777" w:rsidR="00C26958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0FC4266F" w14:textId="77777777" w:rsidR="00C26958" w:rsidRPr="00A227F3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6C36D432" w14:textId="77777777" w:rsidR="00C26958" w:rsidRPr="00EE2D8C" w:rsidRDefault="00C26958" w:rsidP="00C2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5485C616" w14:textId="77777777" w:rsidR="00892ECD" w:rsidRDefault="00774816" w:rsidP="00892ECD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05193DB7" w14:textId="7E9FD39A" w:rsidR="00C26958" w:rsidRPr="00892ECD" w:rsidRDefault="00C26958" w:rsidP="00892ECD">
      <w:pPr>
        <w:pStyle w:val="ListParagraph"/>
        <w:keepNext/>
        <w:keepLines/>
        <w:numPr>
          <w:ilvl w:val="0"/>
          <w:numId w:val="31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1540C0D5" w14:textId="27DDDAA2" w:rsidR="00774816" w:rsidRDefault="00774816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4FCCAB08" w14:textId="77777777" w:rsidR="00892ECD" w:rsidRPr="00A227F3" w:rsidRDefault="00892ECD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70326346" w14:textId="77777777" w:rsidR="00774816" w:rsidRPr="00A227F3" w:rsidRDefault="00774816" w:rsidP="00774816">
      <w:pPr>
        <w:numPr>
          <w:ilvl w:val="0"/>
          <w:numId w:val="26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Default="00774816" w:rsidP="00774816"/>
    <w:p w14:paraId="12CE5577" w14:textId="77777777" w:rsidR="00C26958" w:rsidRDefault="00C26958" w:rsidP="00774816"/>
    <w:p w14:paraId="00FA78E3" w14:textId="77777777" w:rsidR="00C26958" w:rsidRDefault="00C26958" w:rsidP="00774816"/>
    <w:p w14:paraId="21BEC049" w14:textId="77777777" w:rsidR="00C26958" w:rsidRPr="00774816" w:rsidRDefault="00C26958" w:rsidP="00774816"/>
    <w:p w14:paraId="7334FE0B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4BB32CFC" w14:textId="101C8654" w:rsidR="003D0B4A" w:rsidRPr="004F593C" w:rsidRDefault="003D0B4A" w:rsidP="006763AC">
      <w:pPr>
        <w:pStyle w:val="Subtitle"/>
        <w:spacing w:after="0" w:line="240" w:lineRule="auto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4F593C">
        <w:rPr>
          <w:rFonts w:ascii="VIC" w:hAnsi="VIC"/>
          <w:color w:val="0F4761" w:themeColor="accent1" w:themeShade="BF"/>
          <w:spacing w:val="0"/>
          <w:sz w:val="40"/>
          <w:szCs w:val="40"/>
        </w:rPr>
        <w:lastRenderedPageBreak/>
        <w:t xml:space="preserve">Part B </w:t>
      </w:r>
    </w:p>
    <w:p w14:paraId="00154EC8" w14:textId="7ED67E67" w:rsidR="002A1BA5" w:rsidRPr="002B4F40" w:rsidRDefault="00793AC7" w:rsidP="006763AC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Simulation Modelling (TSM)</w:t>
      </w:r>
      <w:r w:rsidR="00E2177C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 </w:t>
      </w:r>
      <w:r w:rsidR="004F593C" w:rsidRPr="002B4F4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Level </w:t>
      </w:r>
    </w:p>
    <w:p w14:paraId="164BC53F" w14:textId="77777777" w:rsidR="002A1BA5" w:rsidRDefault="002A1BA5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BC217BC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About this Level</w:t>
      </w:r>
    </w:p>
    <w:p w14:paraId="103D6790" w14:textId="77777777" w:rsidR="00D56AD9" w:rsidRDefault="00D56AD9" w:rsidP="00053B82">
      <w:pPr>
        <w:rPr>
          <w:rFonts w:ascii="VIC" w:hAnsi="VIC"/>
          <w:sz w:val="20"/>
        </w:rPr>
      </w:pPr>
      <w:r w:rsidRPr="00D56AD9">
        <w:rPr>
          <w:rFonts w:ascii="VIC" w:hAnsi="VIC"/>
          <w:sz w:val="20"/>
        </w:rPr>
        <w:t xml:space="preserve">This level of pre-qualification requires competency in carrying out traffic simulation of intersections, small and large networks using recently developed modelling tools, such as VISSIM. </w:t>
      </w:r>
    </w:p>
    <w:p w14:paraId="5AE5F19C" w14:textId="3E66FE7A" w:rsidR="00053B82" w:rsidRPr="00053B82" w:rsidRDefault="003D0B4A" w:rsidP="00053B82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Areas of Competency</w:t>
      </w:r>
    </w:p>
    <w:p w14:paraId="4B95C0DC" w14:textId="77777777" w:rsidR="001C54E2" w:rsidRDefault="00C45D23" w:rsidP="00C45D23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C45D23">
        <w:rPr>
          <w:rFonts w:ascii="VIC" w:eastAsiaTheme="majorEastAsia" w:hAnsi="VIC" w:cstheme="majorBidi"/>
          <w:sz w:val="20"/>
          <w:szCs w:val="20"/>
        </w:rPr>
        <w:t xml:space="preserve">Experience in the </w:t>
      </w:r>
      <w:r w:rsidR="00145BED">
        <w:rPr>
          <w:rFonts w:ascii="VIC" w:eastAsiaTheme="majorEastAsia" w:hAnsi="VIC" w:cstheme="majorBidi"/>
          <w:sz w:val="20"/>
          <w:szCs w:val="20"/>
        </w:rPr>
        <w:t>application of (3) traffic simulations activities of intersections</w:t>
      </w:r>
    </w:p>
    <w:p w14:paraId="603E30CA" w14:textId="1EA2EBE8" w:rsidR="00FB7ADB" w:rsidRPr="001C54E2" w:rsidRDefault="001C54E2" w:rsidP="006E5A2E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1C54E2">
        <w:rPr>
          <w:rFonts w:ascii="VIC" w:eastAsiaTheme="majorEastAsia" w:hAnsi="VIC" w:cstheme="majorBidi"/>
          <w:sz w:val="20"/>
          <w:szCs w:val="20"/>
        </w:rPr>
        <w:t>Experience is the use of modelling tools, such as VISSIM.</w:t>
      </w:r>
    </w:p>
    <w:p w14:paraId="3C18224F" w14:textId="76922910" w:rsidR="003D0B4A" w:rsidRPr="00FB7ADB" w:rsidRDefault="003D0B4A" w:rsidP="00FB7ADB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FB7ADB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Prerequisites</w:t>
      </w:r>
    </w:p>
    <w:p w14:paraId="15A54886" w14:textId="204E170E" w:rsidR="00125F7D" w:rsidRDefault="002B4F40" w:rsidP="008B2DF4">
      <w:pPr>
        <w:rPr>
          <w:rFonts w:ascii="VIC" w:eastAsiaTheme="majorEastAsia" w:hAnsi="VIC" w:cstheme="majorBidi"/>
          <w:sz w:val="20"/>
          <w:szCs w:val="20"/>
        </w:rPr>
      </w:pPr>
      <w:r w:rsidRPr="000F6840">
        <w:rPr>
          <w:rFonts w:ascii="VIC" w:eastAsiaTheme="majorEastAsia" w:hAnsi="VIC" w:cstheme="majorBidi"/>
          <w:sz w:val="20"/>
          <w:szCs w:val="20"/>
        </w:rPr>
        <w:t>There are no prerequisites for this level.</w:t>
      </w:r>
    </w:p>
    <w:p w14:paraId="3DAE24BE" w14:textId="1D3F04BB" w:rsidR="008B2DF4" w:rsidRDefault="003D0B4A" w:rsidP="008B2DF4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 xml:space="preserve">Renewal </w:t>
      </w:r>
      <w:r w:rsid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/ Reviews</w:t>
      </w:r>
    </w:p>
    <w:p w14:paraId="38421CE7" w14:textId="77777777" w:rsidR="00EC2C54" w:rsidRDefault="002B4F40" w:rsidP="002B4F40">
      <w:pPr>
        <w:rPr>
          <w:rFonts w:ascii="VIC" w:eastAsiaTheme="majorEastAsia" w:hAnsi="VIC" w:cstheme="majorBidi"/>
          <w:sz w:val="20"/>
          <w:szCs w:val="20"/>
        </w:rPr>
      </w:pPr>
      <w:r w:rsidRPr="00EC2C54">
        <w:rPr>
          <w:rFonts w:ascii="VIC" w:eastAsiaTheme="majorEastAsia" w:hAnsi="VIC" w:cstheme="majorBidi"/>
          <w:sz w:val="20"/>
          <w:szCs w:val="20"/>
        </w:rPr>
        <w:t xml:space="preserve">Prequalified companies </w:t>
      </w:r>
      <w:bookmarkStart w:id="1" w:name="_Hlk201308916"/>
      <w:r w:rsidRPr="00EC2C54">
        <w:rPr>
          <w:rFonts w:ascii="VIC" w:eastAsiaTheme="majorEastAsia" w:hAnsi="VIC" w:cstheme="majorBidi"/>
          <w:sz w:val="20"/>
          <w:szCs w:val="20"/>
        </w:rPr>
        <w:t xml:space="preserve">will be required to participate in performance reviews every </w:t>
      </w:r>
      <w:r w:rsidR="00EC2C54" w:rsidRPr="00EC2C54">
        <w:rPr>
          <w:rFonts w:ascii="VIC" w:eastAsiaTheme="majorEastAsia" w:hAnsi="VIC" w:cstheme="majorBidi"/>
          <w:sz w:val="20"/>
          <w:szCs w:val="20"/>
        </w:rPr>
        <w:t>3</w:t>
      </w:r>
      <w:r w:rsidRPr="00EC2C54">
        <w:rPr>
          <w:rFonts w:ascii="VIC" w:eastAsiaTheme="majorEastAsia" w:hAnsi="VIC" w:cstheme="majorBidi"/>
          <w:sz w:val="20"/>
          <w:szCs w:val="20"/>
        </w:rPr>
        <w:t xml:space="preserve"> years. </w:t>
      </w:r>
    </w:p>
    <w:bookmarkEnd w:id="1"/>
    <w:p w14:paraId="7B2B3DDB" w14:textId="77777777" w:rsidR="00EC2C54" w:rsidRDefault="00EC2C54" w:rsidP="00EC2C54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The company is required to advise the department of any changes to personnel that this application nominates. </w:t>
      </w:r>
    </w:p>
    <w:p w14:paraId="1A6A569C" w14:textId="4A467D84" w:rsidR="003D0B4A" w:rsidRDefault="00774816" w:rsidP="003D0B4A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Minimum</w:t>
      </w:r>
      <w:r w:rsidR="003D0B4A" w:rsidRPr="004F593C">
        <w:rPr>
          <w:rFonts w:ascii="VIC" w:hAnsi="VIC"/>
          <w:sz w:val="28"/>
          <w:szCs w:val="28"/>
        </w:rPr>
        <w:t xml:space="preserve"> Requirements</w:t>
      </w:r>
    </w:p>
    <w:p w14:paraId="0A581F75" w14:textId="01D88CA9" w:rsidR="00AC3576" w:rsidRDefault="00814CBE" w:rsidP="00793AC7">
      <w:pPr>
        <w:pStyle w:val="ListParagraph"/>
        <w:numPr>
          <w:ilvl w:val="0"/>
          <w:numId w:val="44"/>
        </w:numPr>
        <w:rPr>
          <w:rFonts w:ascii="VIC" w:hAnsi="VIC"/>
          <w:bCs/>
          <w:sz w:val="20"/>
          <w:szCs w:val="20"/>
        </w:rPr>
      </w:pPr>
      <w:r>
        <w:rPr>
          <w:rFonts w:ascii="VIC" w:hAnsi="VIC"/>
          <w:bCs/>
          <w:sz w:val="20"/>
          <w:szCs w:val="20"/>
        </w:rPr>
        <w:t xml:space="preserve">Details of at least </w:t>
      </w:r>
      <w:r w:rsidR="00DD3C19" w:rsidRPr="00DD3C19">
        <w:rPr>
          <w:rFonts w:ascii="VIC" w:hAnsi="VIC"/>
          <w:bCs/>
          <w:sz w:val="20"/>
          <w:szCs w:val="20"/>
        </w:rPr>
        <w:t xml:space="preserve">3 </w:t>
      </w:r>
      <w:r w:rsidR="00793AC7">
        <w:rPr>
          <w:rFonts w:ascii="VIC" w:hAnsi="VIC"/>
          <w:bCs/>
          <w:sz w:val="20"/>
          <w:szCs w:val="20"/>
        </w:rPr>
        <w:t>projects of traffic simulation activities of intersections.</w:t>
      </w:r>
    </w:p>
    <w:p w14:paraId="62921EB4" w14:textId="583C8A0D" w:rsidR="00793AC7" w:rsidRDefault="00793AC7" w:rsidP="00793AC7">
      <w:pPr>
        <w:pStyle w:val="ListParagraph"/>
        <w:numPr>
          <w:ilvl w:val="0"/>
          <w:numId w:val="44"/>
        </w:numPr>
        <w:rPr>
          <w:rFonts w:ascii="VIC" w:hAnsi="VIC"/>
          <w:bCs/>
          <w:sz w:val="20"/>
          <w:szCs w:val="20"/>
        </w:rPr>
      </w:pPr>
      <w:r>
        <w:rPr>
          <w:rFonts w:ascii="VIC" w:hAnsi="VIC"/>
          <w:bCs/>
          <w:sz w:val="20"/>
          <w:szCs w:val="20"/>
        </w:rPr>
        <w:t>Details of modelling tools uses</w:t>
      </w:r>
    </w:p>
    <w:p w14:paraId="167C996A" w14:textId="77777777" w:rsidR="002B4F40" w:rsidRDefault="002B4F40" w:rsidP="002B4F40">
      <w:pPr>
        <w:spacing w:after="0" w:line="240" w:lineRule="auto"/>
        <w:ind w:left="72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3355542D" w14:textId="646E19D3" w:rsidR="00774816" w:rsidRDefault="00774816" w:rsidP="002B4F40">
      <w:pPr>
        <w:pStyle w:val="Heading2"/>
        <w:spacing w:before="0" w:after="0" w:line="240" w:lineRule="auto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Spreadsheet</w:t>
      </w:r>
    </w:p>
    <w:p w14:paraId="657F1AD2" w14:textId="77777777" w:rsidR="002B4F40" w:rsidRDefault="002B4F40" w:rsidP="002B4F40">
      <w:pPr>
        <w:spacing w:after="0" w:line="240" w:lineRule="auto"/>
        <w:rPr>
          <w:rFonts w:ascii="VIC" w:hAnsi="VIC"/>
          <w:sz w:val="20"/>
          <w:szCs w:val="20"/>
        </w:rPr>
      </w:pPr>
    </w:p>
    <w:p w14:paraId="6B8B099A" w14:textId="182BDB0C" w:rsidR="00774816" w:rsidRPr="002A1BA5" w:rsidRDefault="00774816" w:rsidP="002B4F40">
      <w:pPr>
        <w:spacing w:after="0" w:line="240" w:lineRule="auto"/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70666822" w:rsidR="00A962DD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</w:p>
    <w:p w14:paraId="5C0859F4" w14:textId="4685B839" w:rsidR="002E44DF" w:rsidRPr="00782758" w:rsidRDefault="00AE28BC" w:rsidP="00782758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12F940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1" o:title=""/>
          </v:shape>
          <o:OLEObject Type="Embed" ProgID="Excel.Sheet.12" ShapeID="_x0000_i1025" DrawAspect="Icon" ObjectID="_1826117143" r:id="rId12"/>
        </w:object>
      </w:r>
    </w:p>
    <w:sectPr w:rsidR="002E44DF" w:rsidRPr="00782758" w:rsidSect="002A1BA5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9F00" w14:textId="77777777" w:rsidR="00E04153" w:rsidRDefault="00E04153" w:rsidP="00EF050E">
      <w:pPr>
        <w:spacing w:after="0" w:line="240" w:lineRule="auto"/>
      </w:pPr>
      <w:r>
        <w:separator/>
      </w:r>
    </w:p>
  </w:endnote>
  <w:endnote w:type="continuationSeparator" w:id="0">
    <w:p w14:paraId="69DB9E2F" w14:textId="77777777" w:rsidR="00E04153" w:rsidRDefault="00E04153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6723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3EA3C227" w14:textId="09A1352C" w:rsidR="002A1BA5" w:rsidRPr="002A1BA5" w:rsidRDefault="002A1BA5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2A1BA5">
          <w:rPr>
            <w:rFonts w:ascii="VIC" w:hAnsi="VIC"/>
            <w:sz w:val="16"/>
            <w:szCs w:val="16"/>
          </w:rPr>
          <w:fldChar w:fldCharType="begin"/>
        </w:r>
        <w:r w:rsidRPr="002A1BA5">
          <w:rPr>
            <w:rFonts w:ascii="VIC" w:hAnsi="VIC"/>
            <w:sz w:val="16"/>
            <w:szCs w:val="16"/>
          </w:rPr>
          <w:instrText xml:space="preserve"> PAGE   \* MERGEFORMAT </w:instrText>
        </w:r>
        <w:r w:rsidRPr="002A1BA5">
          <w:rPr>
            <w:rFonts w:ascii="VIC" w:hAnsi="VIC"/>
            <w:sz w:val="16"/>
            <w:szCs w:val="16"/>
          </w:rPr>
          <w:fldChar w:fldCharType="separate"/>
        </w:r>
        <w:r w:rsidRPr="002A1BA5">
          <w:rPr>
            <w:rFonts w:ascii="VIC" w:hAnsi="VIC"/>
            <w:noProof/>
            <w:sz w:val="16"/>
            <w:szCs w:val="16"/>
          </w:rPr>
          <w:t>2</w:t>
        </w:r>
        <w:r w:rsidRPr="002A1BA5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21F3529A" w14:textId="77777777" w:rsidR="002A1BA5" w:rsidRDefault="002A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B96C" w14:textId="77777777" w:rsidR="00E04153" w:rsidRDefault="00E04153" w:rsidP="00EF050E">
      <w:pPr>
        <w:spacing w:after="0" w:line="240" w:lineRule="auto"/>
      </w:pPr>
      <w:r>
        <w:separator/>
      </w:r>
    </w:p>
  </w:footnote>
  <w:footnote w:type="continuationSeparator" w:id="0">
    <w:p w14:paraId="2D12E1C7" w14:textId="77777777" w:rsidR="00E04153" w:rsidRDefault="00E04153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613245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893B8B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AD6"/>
    <w:multiLevelType w:val="hybridMultilevel"/>
    <w:tmpl w:val="92483D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2198"/>
    <w:multiLevelType w:val="hybridMultilevel"/>
    <w:tmpl w:val="0C02E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2D8"/>
    <w:multiLevelType w:val="hybridMultilevel"/>
    <w:tmpl w:val="5030C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B0635"/>
    <w:multiLevelType w:val="hybridMultilevel"/>
    <w:tmpl w:val="815AC78A"/>
    <w:lvl w:ilvl="0" w:tplc="A2366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A7E"/>
    <w:multiLevelType w:val="hybridMultilevel"/>
    <w:tmpl w:val="0D38A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9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3154"/>
    <w:multiLevelType w:val="hybridMultilevel"/>
    <w:tmpl w:val="4C7CB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50BD"/>
    <w:multiLevelType w:val="hybridMultilevel"/>
    <w:tmpl w:val="4A700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821995"/>
    <w:multiLevelType w:val="hybridMultilevel"/>
    <w:tmpl w:val="3D9E4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E42BD"/>
    <w:multiLevelType w:val="hybridMultilevel"/>
    <w:tmpl w:val="166A3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02111"/>
    <w:multiLevelType w:val="hybridMultilevel"/>
    <w:tmpl w:val="83D861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495"/>
    <w:multiLevelType w:val="hybridMultilevel"/>
    <w:tmpl w:val="836C3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F12936"/>
    <w:multiLevelType w:val="hybridMultilevel"/>
    <w:tmpl w:val="D19C0122"/>
    <w:lvl w:ilvl="0" w:tplc="BCD0192E">
      <w:start w:val="1"/>
      <w:numFmt w:val="bullet"/>
      <w:lvlText w:val="o"/>
      <w:lvlJc w:val="left"/>
      <w:pPr>
        <w:ind w:left="720" w:hanging="360"/>
      </w:pPr>
      <w:rPr>
        <w:rFonts w:ascii="VIC" w:hAnsi="VIC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D73FA"/>
    <w:multiLevelType w:val="hybridMultilevel"/>
    <w:tmpl w:val="A842760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5937"/>
    <w:multiLevelType w:val="hybridMultilevel"/>
    <w:tmpl w:val="6CFA3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C137B"/>
    <w:multiLevelType w:val="hybridMultilevel"/>
    <w:tmpl w:val="9B686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2" w15:restartNumberingAfterBreak="0">
    <w:nsid w:val="7A421155"/>
    <w:multiLevelType w:val="hybridMultilevel"/>
    <w:tmpl w:val="26F4C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753EA"/>
    <w:multiLevelType w:val="hybridMultilevel"/>
    <w:tmpl w:val="F8268DE2"/>
    <w:lvl w:ilvl="0" w:tplc="AF5E2D4A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42648">
    <w:abstractNumId w:val="41"/>
  </w:num>
  <w:num w:numId="2" w16cid:durableId="365838606">
    <w:abstractNumId w:val="11"/>
  </w:num>
  <w:num w:numId="3" w16cid:durableId="2112700271">
    <w:abstractNumId w:val="33"/>
  </w:num>
  <w:num w:numId="4" w16cid:durableId="2144077539">
    <w:abstractNumId w:val="38"/>
  </w:num>
  <w:num w:numId="5" w16cid:durableId="14566805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40"/>
  </w:num>
  <w:num w:numId="8" w16cid:durableId="1364598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5"/>
  </w:num>
  <w:num w:numId="14" w16cid:durableId="669718050">
    <w:abstractNumId w:val="30"/>
  </w:num>
  <w:num w:numId="15" w16cid:durableId="775447243">
    <w:abstractNumId w:val="31"/>
  </w:num>
  <w:num w:numId="16" w16cid:durableId="1559173327">
    <w:abstractNumId w:val="8"/>
  </w:num>
  <w:num w:numId="17" w16cid:durableId="285042894">
    <w:abstractNumId w:val="17"/>
  </w:num>
  <w:num w:numId="18" w16cid:durableId="1878852401">
    <w:abstractNumId w:val="10"/>
  </w:num>
  <w:num w:numId="19" w16cid:durableId="957419769">
    <w:abstractNumId w:val="28"/>
  </w:num>
  <w:num w:numId="20" w16cid:durableId="1623879105">
    <w:abstractNumId w:val="37"/>
  </w:num>
  <w:num w:numId="21" w16cid:durableId="1886678136">
    <w:abstractNumId w:val="1"/>
  </w:num>
  <w:num w:numId="22" w16cid:durableId="1806318152">
    <w:abstractNumId w:val="24"/>
  </w:num>
  <w:num w:numId="23" w16cid:durableId="1559779491">
    <w:abstractNumId w:val="18"/>
  </w:num>
  <w:num w:numId="24" w16cid:durableId="708845398">
    <w:abstractNumId w:val="27"/>
  </w:num>
  <w:num w:numId="25" w16cid:durableId="1083841058">
    <w:abstractNumId w:val="13"/>
  </w:num>
  <w:num w:numId="26" w16cid:durableId="1915121307">
    <w:abstractNumId w:val="3"/>
  </w:num>
  <w:num w:numId="27" w16cid:durableId="761491786">
    <w:abstractNumId w:val="23"/>
  </w:num>
  <w:num w:numId="28" w16cid:durableId="957222631">
    <w:abstractNumId w:val="36"/>
  </w:num>
  <w:num w:numId="29" w16cid:durableId="705445806">
    <w:abstractNumId w:val="21"/>
  </w:num>
  <w:num w:numId="30" w16cid:durableId="1451901839">
    <w:abstractNumId w:val="2"/>
  </w:num>
  <w:num w:numId="31" w16cid:durableId="1594363008">
    <w:abstractNumId w:val="25"/>
  </w:num>
  <w:num w:numId="32" w16cid:durableId="315500274">
    <w:abstractNumId w:val="29"/>
  </w:num>
  <w:num w:numId="33" w16cid:durableId="479687336">
    <w:abstractNumId w:val="42"/>
  </w:num>
  <w:num w:numId="34" w16cid:durableId="1569611483">
    <w:abstractNumId w:val="19"/>
  </w:num>
  <w:num w:numId="35" w16cid:durableId="1755010664">
    <w:abstractNumId w:val="7"/>
  </w:num>
  <w:num w:numId="36" w16cid:durableId="1518618439">
    <w:abstractNumId w:val="14"/>
  </w:num>
  <w:num w:numId="37" w16cid:durableId="346057486">
    <w:abstractNumId w:val="26"/>
  </w:num>
  <w:num w:numId="38" w16cid:durableId="2111923947">
    <w:abstractNumId w:val="5"/>
  </w:num>
  <w:num w:numId="39" w16cid:durableId="312105712">
    <w:abstractNumId w:val="39"/>
  </w:num>
  <w:num w:numId="40" w16cid:durableId="1925383486">
    <w:abstractNumId w:val="16"/>
  </w:num>
  <w:num w:numId="41" w16cid:durableId="950554938">
    <w:abstractNumId w:val="34"/>
  </w:num>
  <w:num w:numId="42" w16cid:durableId="120734010">
    <w:abstractNumId w:val="0"/>
  </w:num>
  <w:num w:numId="43" w16cid:durableId="706566011">
    <w:abstractNumId w:val="32"/>
  </w:num>
  <w:num w:numId="44" w16cid:durableId="194971032">
    <w:abstractNumId w:val="20"/>
  </w:num>
  <w:num w:numId="45" w16cid:durableId="16546413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2AC6"/>
    <w:rsid w:val="0004340D"/>
    <w:rsid w:val="00053B82"/>
    <w:rsid w:val="000F6840"/>
    <w:rsid w:val="00125F7D"/>
    <w:rsid w:val="00145BED"/>
    <w:rsid w:val="00171849"/>
    <w:rsid w:val="001C54E2"/>
    <w:rsid w:val="001F59DC"/>
    <w:rsid w:val="00231C3B"/>
    <w:rsid w:val="002417DC"/>
    <w:rsid w:val="00297DDF"/>
    <w:rsid w:val="002A1BA5"/>
    <w:rsid w:val="002B4F40"/>
    <w:rsid w:val="002C7B02"/>
    <w:rsid w:val="002E44DF"/>
    <w:rsid w:val="00301B52"/>
    <w:rsid w:val="00352DA0"/>
    <w:rsid w:val="0037528E"/>
    <w:rsid w:val="003D0B4A"/>
    <w:rsid w:val="004A5566"/>
    <w:rsid w:val="004E2F93"/>
    <w:rsid w:val="004F593C"/>
    <w:rsid w:val="00524A49"/>
    <w:rsid w:val="0057050B"/>
    <w:rsid w:val="00595805"/>
    <w:rsid w:val="00602E90"/>
    <w:rsid w:val="0060708C"/>
    <w:rsid w:val="00611241"/>
    <w:rsid w:val="0064501D"/>
    <w:rsid w:val="006649B4"/>
    <w:rsid w:val="006763AC"/>
    <w:rsid w:val="006E0064"/>
    <w:rsid w:val="006E7426"/>
    <w:rsid w:val="006F3DEF"/>
    <w:rsid w:val="00746F88"/>
    <w:rsid w:val="00774816"/>
    <w:rsid w:val="00782758"/>
    <w:rsid w:val="00793AC7"/>
    <w:rsid w:val="007A6349"/>
    <w:rsid w:val="007B675C"/>
    <w:rsid w:val="007C67D7"/>
    <w:rsid w:val="007F0097"/>
    <w:rsid w:val="00814CBE"/>
    <w:rsid w:val="00844107"/>
    <w:rsid w:val="00882DAC"/>
    <w:rsid w:val="00892ECD"/>
    <w:rsid w:val="008A1F26"/>
    <w:rsid w:val="008B2DF4"/>
    <w:rsid w:val="008C7A92"/>
    <w:rsid w:val="008D4E06"/>
    <w:rsid w:val="008E7CFA"/>
    <w:rsid w:val="009029F9"/>
    <w:rsid w:val="009458F9"/>
    <w:rsid w:val="009632A7"/>
    <w:rsid w:val="00987093"/>
    <w:rsid w:val="00990E42"/>
    <w:rsid w:val="009B6485"/>
    <w:rsid w:val="009C77ED"/>
    <w:rsid w:val="00A01A1A"/>
    <w:rsid w:val="00A21AD6"/>
    <w:rsid w:val="00A22824"/>
    <w:rsid w:val="00A2282B"/>
    <w:rsid w:val="00A638A8"/>
    <w:rsid w:val="00A962DD"/>
    <w:rsid w:val="00A97FE7"/>
    <w:rsid w:val="00AC3576"/>
    <w:rsid w:val="00AE28BC"/>
    <w:rsid w:val="00AE3775"/>
    <w:rsid w:val="00B1212F"/>
    <w:rsid w:val="00B53EAB"/>
    <w:rsid w:val="00B6027A"/>
    <w:rsid w:val="00B66AFD"/>
    <w:rsid w:val="00B875F9"/>
    <w:rsid w:val="00BB7D38"/>
    <w:rsid w:val="00BD531D"/>
    <w:rsid w:val="00C26958"/>
    <w:rsid w:val="00C45D23"/>
    <w:rsid w:val="00C65DD7"/>
    <w:rsid w:val="00CC3C0C"/>
    <w:rsid w:val="00D45582"/>
    <w:rsid w:val="00D56AD9"/>
    <w:rsid w:val="00D92E85"/>
    <w:rsid w:val="00DB6497"/>
    <w:rsid w:val="00DD3C19"/>
    <w:rsid w:val="00E04153"/>
    <w:rsid w:val="00E2177C"/>
    <w:rsid w:val="00E27E46"/>
    <w:rsid w:val="00E40A81"/>
    <w:rsid w:val="00EC2C54"/>
    <w:rsid w:val="00EF050E"/>
    <w:rsid w:val="00F07769"/>
    <w:rsid w:val="00FB7ADB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A8BD-D730-4B72-A319-F6FA0D812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3</cp:revision>
  <dcterms:created xsi:type="dcterms:W3CDTF">2025-12-01T06:58:00Z</dcterms:created>
  <dcterms:modified xsi:type="dcterms:W3CDTF">2025-12-01T06:59:00Z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05e4571f-66b1-4600-8e3c-05d79e4910e0</vt:lpwstr>
  </property>
</Properties>
</file>